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A3693" w14:textId="48C31943" w:rsidR="00711ACE" w:rsidRDefault="00EA4B54" w:rsidP="00C81380">
      <w:pPr>
        <w:rPr>
          <w:rFonts w:cstheme="minorHAnsi"/>
          <w:b/>
          <w:bCs/>
          <w:sz w:val="28"/>
          <w:szCs w:val="28"/>
          <w:lang w:val="de-CH"/>
        </w:rPr>
      </w:pPr>
      <w:r w:rsidRPr="00EA4B54">
        <w:rPr>
          <w:rFonts w:cstheme="minorHAnsi"/>
          <w:b/>
          <w:bCs/>
          <w:sz w:val="28"/>
          <w:szCs w:val="28"/>
          <w:lang w:val="de-CH"/>
        </w:rPr>
        <w:t>Noch mehr neue Velux Eindeckrahmen-Varianten</w:t>
      </w:r>
    </w:p>
    <w:p w14:paraId="7FAD0623" w14:textId="2BD17503" w:rsidR="00EA4B54" w:rsidRDefault="00EA4B54" w:rsidP="00C81380">
      <w:pPr>
        <w:rPr>
          <w:rFonts w:cstheme="minorHAnsi"/>
          <w:b/>
          <w:bCs/>
          <w:sz w:val="28"/>
          <w:szCs w:val="28"/>
          <w:lang w:val="de-CH"/>
        </w:rPr>
      </w:pPr>
    </w:p>
    <w:p w14:paraId="1D82B727" w14:textId="4C3172D9" w:rsidR="00EA4B54" w:rsidRPr="00EA4B54" w:rsidRDefault="00EA4B54" w:rsidP="00C81380">
      <w:pPr>
        <w:rPr>
          <w:rFonts w:cstheme="minorHAnsi"/>
          <w:b/>
          <w:bCs/>
          <w:sz w:val="24"/>
          <w:szCs w:val="24"/>
          <w:lang w:val="de-CH"/>
        </w:rPr>
      </w:pPr>
      <w:r w:rsidRPr="00EA4B54">
        <w:rPr>
          <w:rFonts w:cstheme="minorHAnsi"/>
          <w:b/>
          <w:bCs/>
          <w:sz w:val="24"/>
          <w:szCs w:val="24"/>
          <w:lang w:val="de-CH"/>
        </w:rPr>
        <w:t xml:space="preserve">Vereinfachte Montage von Lichtlösungen bei vertieftem Einbau und in </w:t>
      </w:r>
      <w:proofErr w:type="spellStart"/>
      <w:r w:rsidRPr="00EA4B54">
        <w:rPr>
          <w:rFonts w:cstheme="minorHAnsi"/>
          <w:b/>
          <w:bCs/>
          <w:sz w:val="24"/>
          <w:szCs w:val="24"/>
          <w:lang w:val="de-CH"/>
        </w:rPr>
        <w:t>Indach</w:t>
      </w:r>
      <w:proofErr w:type="spellEnd"/>
      <w:r w:rsidRPr="00EA4B54">
        <w:rPr>
          <w:rFonts w:cstheme="minorHAnsi"/>
          <w:b/>
          <w:bCs/>
          <w:sz w:val="24"/>
          <w:szCs w:val="24"/>
          <w:lang w:val="de-CH"/>
        </w:rPr>
        <w:t>-PV-Anlagen</w:t>
      </w:r>
    </w:p>
    <w:p w14:paraId="4B465A6A" w14:textId="77777777" w:rsidR="00DE224A" w:rsidRPr="00C81380" w:rsidRDefault="00DE224A" w:rsidP="0051551E">
      <w:pPr>
        <w:rPr>
          <w:rFonts w:cstheme="minorHAnsi"/>
          <w:b/>
          <w:bCs/>
          <w:lang w:val="de-CH"/>
        </w:rPr>
      </w:pPr>
    </w:p>
    <w:p w14:paraId="5DC21AE5" w14:textId="30BE6169" w:rsidR="00EA4B54" w:rsidRDefault="004B0C64" w:rsidP="00EA4B54">
      <w:pPr>
        <w:spacing w:line="276" w:lineRule="auto"/>
        <w:jc w:val="both"/>
        <w:rPr>
          <w:rFonts w:cstheme="minorHAnsi"/>
          <w:b/>
          <w:bCs/>
          <w:sz w:val="22"/>
          <w:szCs w:val="22"/>
          <w:lang w:val="de-CH"/>
        </w:rPr>
      </w:pPr>
      <w:r w:rsidRPr="004B0C64">
        <w:rPr>
          <w:rFonts w:cstheme="minorHAnsi"/>
          <w:b/>
          <w:bCs/>
          <w:sz w:val="22"/>
          <w:szCs w:val="22"/>
          <w:lang w:val="de-CH"/>
        </w:rPr>
        <w:t xml:space="preserve">Aarburg, </w:t>
      </w:r>
      <w:r w:rsidR="00EA4B54">
        <w:rPr>
          <w:rFonts w:cstheme="minorHAnsi"/>
          <w:b/>
          <w:bCs/>
          <w:sz w:val="22"/>
          <w:szCs w:val="22"/>
          <w:lang w:val="de-CH"/>
        </w:rPr>
        <w:t>Oktober</w:t>
      </w:r>
      <w:r w:rsidR="00394271">
        <w:rPr>
          <w:rFonts w:cstheme="minorHAnsi"/>
          <w:b/>
          <w:bCs/>
          <w:sz w:val="22"/>
          <w:szCs w:val="22"/>
          <w:lang w:val="de-CH"/>
        </w:rPr>
        <w:t xml:space="preserve"> </w:t>
      </w:r>
      <w:r w:rsidRPr="004B0C64">
        <w:rPr>
          <w:rFonts w:cstheme="minorHAnsi"/>
          <w:b/>
          <w:bCs/>
          <w:sz w:val="22"/>
          <w:szCs w:val="22"/>
          <w:lang w:val="de-CH"/>
        </w:rPr>
        <w:t>2025</w:t>
      </w:r>
      <w:r>
        <w:rPr>
          <w:rFonts w:cstheme="minorHAnsi"/>
          <w:bCs/>
          <w:sz w:val="22"/>
          <w:szCs w:val="22"/>
          <w:lang w:val="de-CH"/>
        </w:rPr>
        <w:t xml:space="preserve"> – </w:t>
      </w:r>
      <w:r w:rsidR="00EA4B54" w:rsidRPr="00EA4B54">
        <w:rPr>
          <w:rFonts w:cstheme="minorHAnsi"/>
          <w:b/>
          <w:bCs/>
          <w:sz w:val="22"/>
          <w:szCs w:val="22"/>
          <w:lang w:val="de-CH"/>
        </w:rPr>
        <w:t xml:space="preserve">Velux setzt seine Offensive für die schnellere, einfachere und sicherere Montage seiner Produkte im zweiten Halbjahr 2025 fort. Ab sofort bietet der Dachfensterhersteller seine Kombi-Eindeckrahmen mit der patentierten, flexiblen Mittelrinne auch für den vertieften Einbau und den Einsatz in </w:t>
      </w:r>
      <w:proofErr w:type="spellStart"/>
      <w:r w:rsidR="00EA4B54" w:rsidRPr="00EA4B54">
        <w:rPr>
          <w:rFonts w:cstheme="minorHAnsi"/>
          <w:b/>
          <w:bCs/>
          <w:sz w:val="22"/>
          <w:szCs w:val="22"/>
          <w:lang w:val="de-CH"/>
        </w:rPr>
        <w:t>Indach</w:t>
      </w:r>
      <w:proofErr w:type="spellEnd"/>
      <w:r w:rsidR="00EA4B54" w:rsidRPr="00EA4B54">
        <w:rPr>
          <w:rFonts w:cstheme="minorHAnsi"/>
          <w:b/>
          <w:bCs/>
          <w:sz w:val="22"/>
          <w:szCs w:val="22"/>
          <w:lang w:val="de-CH"/>
        </w:rPr>
        <w:t>-PV-Anlagen an. Um den Bestellprozess zu erleichtern, ist zudem das jeweils passende Dämm- und Anschluss-Set BDX jetzt auch bei den Eindeckrahmen für Zusatzelemente, Verlängerungsteile und die Lichtlösung Dachterrasse im Lieferumfang enthalten. Eine separate Bestellung ist nicht mehr notwendig.</w:t>
      </w:r>
    </w:p>
    <w:p w14:paraId="12ABCF51" w14:textId="77777777" w:rsidR="00EA4B54" w:rsidRPr="00EA4B54" w:rsidRDefault="00EA4B54" w:rsidP="00EA4B54">
      <w:pPr>
        <w:spacing w:line="276" w:lineRule="auto"/>
        <w:jc w:val="both"/>
        <w:rPr>
          <w:rFonts w:cstheme="minorHAnsi"/>
          <w:b/>
          <w:bCs/>
          <w:sz w:val="22"/>
          <w:szCs w:val="22"/>
          <w:lang w:val="de-CH"/>
        </w:rPr>
      </w:pPr>
    </w:p>
    <w:p w14:paraId="7A8E9B4E" w14:textId="643D058E" w:rsidR="00EA4B54" w:rsidRDefault="00EA4B54" w:rsidP="00EA4B54">
      <w:pPr>
        <w:spacing w:line="276" w:lineRule="auto"/>
        <w:jc w:val="both"/>
        <w:rPr>
          <w:rFonts w:cstheme="minorHAnsi"/>
          <w:bCs/>
          <w:sz w:val="22"/>
          <w:szCs w:val="22"/>
          <w:lang w:val="de-CH"/>
        </w:rPr>
      </w:pPr>
      <w:r w:rsidRPr="00EA4B54">
        <w:rPr>
          <w:rFonts w:cstheme="minorHAnsi"/>
          <w:bCs/>
          <w:sz w:val="22"/>
          <w:szCs w:val="22"/>
          <w:lang w:val="de-CH"/>
        </w:rPr>
        <w:t>Velux erweitert erneut das Angebot seiner zuletzt schon für die gängigsten Dacheindeckungen eingeführten Kombi-Eindeckrahmen mit der patentierten, flexiblen Mittelrinne. Ab sofort sind diese Eindeckrahmen für den vertieften Einbau für profilierte Bedachungsmaterialien von 1,5 bis 9 cm Höhe (EKJ) und flache Bedachungsmaterialien bis 1,6 cm Höhe (EKN) auch mit flexibler Mittelrinne und integriertem Dämm- und Anschluss-Set (BDX) erhältlich. Die flexible, patentierte Mittelrinne lässt sich einfach auf Breiten zwischen 10 und 16 cm anpassen und erleichtert Handwerksbetrieben den Einbau von Fensterkombinationen deutlich.</w:t>
      </w:r>
    </w:p>
    <w:p w14:paraId="140AFC18" w14:textId="77777777" w:rsidR="00EA4B54" w:rsidRPr="00EA4B54" w:rsidRDefault="00EA4B54" w:rsidP="00EA4B54">
      <w:pPr>
        <w:spacing w:line="276" w:lineRule="auto"/>
        <w:jc w:val="both"/>
        <w:rPr>
          <w:rFonts w:cstheme="minorHAnsi"/>
          <w:bCs/>
          <w:sz w:val="22"/>
          <w:szCs w:val="22"/>
          <w:lang w:val="de-CH"/>
        </w:rPr>
      </w:pPr>
    </w:p>
    <w:p w14:paraId="4BE8F08D" w14:textId="77777777" w:rsidR="00EA4B54" w:rsidRPr="00EA4B54" w:rsidRDefault="00EA4B54" w:rsidP="00EA4B54">
      <w:pPr>
        <w:spacing w:line="276" w:lineRule="auto"/>
        <w:jc w:val="both"/>
        <w:rPr>
          <w:rFonts w:cstheme="minorHAnsi"/>
          <w:b/>
          <w:bCs/>
          <w:sz w:val="22"/>
          <w:szCs w:val="22"/>
          <w:lang w:val="de-CH"/>
        </w:rPr>
      </w:pPr>
      <w:r w:rsidRPr="00EA4B54">
        <w:rPr>
          <w:rFonts w:cstheme="minorHAnsi"/>
          <w:b/>
          <w:bCs/>
          <w:sz w:val="22"/>
          <w:szCs w:val="22"/>
          <w:lang w:val="de-CH"/>
        </w:rPr>
        <w:t xml:space="preserve">Integration in </w:t>
      </w:r>
      <w:proofErr w:type="spellStart"/>
      <w:r w:rsidRPr="00EA4B54">
        <w:rPr>
          <w:rFonts w:cstheme="minorHAnsi"/>
          <w:b/>
          <w:bCs/>
          <w:sz w:val="22"/>
          <w:szCs w:val="22"/>
          <w:lang w:val="de-CH"/>
        </w:rPr>
        <w:t>Indach</w:t>
      </w:r>
      <w:proofErr w:type="spellEnd"/>
      <w:r w:rsidRPr="00EA4B54">
        <w:rPr>
          <w:rFonts w:cstheme="minorHAnsi"/>
          <w:b/>
          <w:bCs/>
          <w:sz w:val="22"/>
          <w:szCs w:val="22"/>
          <w:lang w:val="de-CH"/>
        </w:rPr>
        <w:t>-PV-Systeme</w:t>
      </w:r>
    </w:p>
    <w:p w14:paraId="42613CBF" w14:textId="1919C0CA" w:rsidR="00EA4B54" w:rsidRDefault="00EA4B54" w:rsidP="00EA4B54">
      <w:pPr>
        <w:spacing w:line="276" w:lineRule="auto"/>
        <w:jc w:val="both"/>
        <w:rPr>
          <w:rFonts w:cstheme="minorHAnsi"/>
          <w:bCs/>
          <w:sz w:val="22"/>
          <w:szCs w:val="22"/>
          <w:lang w:val="de-CH"/>
        </w:rPr>
      </w:pPr>
      <w:r w:rsidRPr="00EA4B54">
        <w:rPr>
          <w:rFonts w:cstheme="minorHAnsi"/>
          <w:bCs/>
          <w:sz w:val="22"/>
          <w:szCs w:val="22"/>
          <w:lang w:val="de-CH"/>
        </w:rPr>
        <w:t>Der neue Kombi-Eindeckrahmen OKL ermöglicht jetzt auch die einfache Integration von zwei Fenstern nebeneinander in Kombination mit einer PV-</w:t>
      </w:r>
      <w:proofErr w:type="spellStart"/>
      <w:r w:rsidRPr="00EA4B54">
        <w:rPr>
          <w:rFonts w:cstheme="minorHAnsi"/>
          <w:bCs/>
          <w:sz w:val="22"/>
          <w:szCs w:val="22"/>
          <w:lang w:val="de-CH"/>
        </w:rPr>
        <w:t>Indach</w:t>
      </w:r>
      <w:proofErr w:type="spellEnd"/>
      <w:r w:rsidRPr="00EA4B54">
        <w:rPr>
          <w:rFonts w:cstheme="minorHAnsi"/>
          <w:bCs/>
          <w:sz w:val="22"/>
          <w:szCs w:val="22"/>
          <w:lang w:val="de-CH"/>
        </w:rPr>
        <w:t>-Anlage. Somit ist es auch unter einem zur Energiegewinnung genutzten Dach möglich, Wohnraum mit reichlich Licht, Luft und Ausblick zu realisieren. Für noch mehr Flexibilität im Einzeleinbau ergänzt Velux zudem das ODL-Sortiment um die zwei neuen Standardgrö</w:t>
      </w:r>
      <w:r>
        <w:rPr>
          <w:rFonts w:cstheme="minorHAnsi"/>
          <w:bCs/>
          <w:sz w:val="22"/>
          <w:szCs w:val="22"/>
          <w:lang w:val="de-CH"/>
        </w:rPr>
        <w:t>ss</w:t>
      </w:r>
      <w:r w:rsidRPr="00EA4B54">
        <w:rPr>
          <w:rFonts w:cstheme="minorHAnsi"/>
          <w:bCs/>
          <w:sz w:val="22"/>
          <w:szCs w:val="22"/>
          <w:lang w:val="de-CH"/>
        </w:rPr>
        <w:t>en 78x160 cm (MK10) und 94x118 cm (PK06).</w:t>
      </w:r>
    </w:p>
    <w:p w14:paraId="3935B95A" w14:textId="77777777" w:rsidR="00EA4B54" w:rsidRPr="00EA4B54" w:rsidRDefault="00EA4B54" w:rsidP="00EA4B54">
      <w:pPr>
        <w:spacing w:line="276" w:lineRule="auto"/>
        <w:jc w:val="both"/>
        <w:rPr>
          <w:rFonts w:cstheme="minorHAnsi"/>
          <w:bCs/>
          <w:sz w:val="22"/>
          <w:szCs w:val="22"/>
          <w:lang w:val="de-CH"/>
        </w:rPr>
      </w:pPr>
    </w:p>
    <w:p w14:paraId="276437F7" w14:textId="77777777" w:rsidR="00EA4B54" w:rsidRPr="00EA4B54" w:rsidRDefault="00EA4B54" w:rsidP="00EA4B54">
      <w:pPr>
        <w:spacing w:line="276" w:lineRule="auto"/>
        <w:jc w:val="both"/>
        <w:rPr>
          <w:rFonts w:cstheme="minorHAnsi"/>
          <w:b/>
          <w:bCs/>
          <w:sz w:val="22"/>
          <w:szCs w:val="22"/>
          <w:lang w:val="de-CH"/>
        </w:rPr>
      </w:pPr>
      <w:r w:rsidRPr="00EA4B54">
        <w:rPr>
          <w:rFonts w:cstheme="minorHAnsi"/>
          <w:b/>
          <w:bCs/>
          <w:sz w:val="22"/>
          <w:szCs w:val="22"/>
          <w:lang w:val="de-CH"/>
        </w:rPr>
        <w:t>Weitere Eindeckrahmenelemente inklusive Dämm- und Anschluss-Set BDX</w:t>
      </w:r>
    </w:p>
    <w:p w14:paraId="4AC3CAA2" w14:textId="77777777" w:rsidR="00EA4B54" w:rsidRPr="00EA4B54" w:rsidRDefault="00EA4B54" w:rsidP="00EA4B54">
      <w:pPr>
        <w:spacing w:line="276" w:lineRule="auto"/>
        <w:jc w:val="both"/>
        <w:rPr>
          <w:rFonts w:cstheme="minorHAnsi"/>
          <w:bCs/>
          <w:sz w:val="22"/>
          <w:szCs w:val="22"/>
          <w:lang w:val="de-CH"/>
        </w:rPr>
      </w:pPr>
      <w:r w:rsidRPr="00EA4B54">
        <w:rPr>
          <w:rFonts w:cstheme="minorHAnsi"/>
          <w:bCs/>
          <w:sz w:val="22"/>
          <w:szCs w:val="22"/>
          <w:lang w:val="de-CH"/>
        </w:rPr>
        <w:t xml:space="preserve">Zudem sind ab sofort für einen vereinfachten Bestellprozess bei weiteren Eindeckrahmenelementen passende Dämm- und Anschluss-Sets BDX im Lieferumfang integriert. Ab September werden auch die Verlängerungsteile für profilierte Bedachungsmaterialien bis 9 cm Profilhöhe (ETJ) und flache Bedachungsmaterialien bis 1,6 cm (2x 8 mm) Profilhöhe (ETN) in der neuen Version erhältlich sein. Zudem sind die Eindeckrahmen inklusive BDX für die Lichtlösung Dachterrasse und Fensterkombinationen mit den Zusatzelementen Wand sowohl feststehend (VIU) als auch mit Kippfunktion (VFE) verfügbar. </w:t>
      </w:r>
    </w:p>
    <w:p w14:paraId="544182C4" w14:textId="77777777" w:rsidR="00EA4B54" w:rsidRPr="00EA4B54" w:rsidRDefault="00EA4B54" w:rsidP="00EA4B54">
      <w:pPr>
        <w:spacing w:line="276" w:lineRule="auto"/>
        <w:jc w:val="both"/>
        <w:rPr>
          <w:rFonts w:cstheme="minorHAnsi"/>
          <w:bCs/>
          <w:sz w:val="22"/>
          <w:szCs w:val="22"/>
          <w:lang w:val="de-CH"/>
        </w:rPr>
      </w:pPr>
    </w:p>
    <w:p w14:paraId="704271D7" w14:textId="77777777" w:rsidR="00EA4B54" w:rsidRPr="00EA4B54" w:rsidRDefault="00EA4B54" w:rsidP="00EA4B54">
      <w:pPr>
        <w:pBdr>
          <w:top w:val="single" w:sz="4" w:space="1" w:color="auto"/>
          <w:left w:val="single" w:sz="4" w:space="4" w:color="auto"/>
          <w:bottom w:val="single" w:sz="4" w:space="1" w:color="auto"/>
          <w:right w:val="single" w:sz="4" w:space="4" w:color="auto"/>
        </w:pBdr>
        <w:spacing w:line="276" w:lineRule="auto"/>
        <w:jc w:val="both"/>
        <w:rPr>
          <w:rFonts w:cstheme="minorHAnsi"/>
          <w:b/>
          <w:bCs/>
          <w:sz w:val="22"/>
          <w:szCs w:val="22"/>
          <w:lang w:val="de-CH"/>
        </w:rPr>
      </w:pPr>
      <w:r w:rsidRPr="00EA4B54">
        <w:rPr>
          <w:rFonts w:cstheme="minorHAnsi"/>
          <w:b/>
          <w:bCs/>
          <w:sz w:val="22"/>
          <w:szCs w:val="22"/>
          <w:lang w:val="de-CH"/>
        </w:rPr>
        <w:t>Hintergrundinformation: Flexible Mittelrinne</w:t>
      </w:r>
    </w:p>
    <w:p w14:paraId="401640BD" w14:textId="5F1EC79B" w:rsidR="00EA4B54" w:rsidRPr="00EA4B54" w:rsidRDefault="00EA4B54" w:rsidP="00EA4B54">
      <w:pPr>
        <w:pBdr>
          <w:top w:val="single" w:sz="4" w:space="1" w:color="auto"/>
          <w:left w:val="single" w:sz="4" w:space="4" w:color="auto"/>
          <w:bottom w:val="single" w:sz="4" w:space="1" w:color="auto"/>
          <w:right w:val="single" w:sz="4" w:space="4" w:color="auto"/>
        </w:pBdr>
        <w:spacing w:line="276" w:lineRule="auto"/>
        <w:jc w:val="both"/>
        <w:rPr>
          <w:rFonts w:cstheme="minorHAnsi"/>
          <w:bCs/>
          <w:sz w:val="22"/>
          <w:szCs w:val="22"/>
          <w:lang w:val="de-CH"/>
        </w:rPr>
      </w:pPr>
      <w:r w:rsidRPr="00EA4B54">
        <w:rPr>
          <w:rFonts w:cstheme="minorHAnsi"/>
          <w:bCs/>
          <w:sz w:val="22"/>
          <w:szCs w:val="22"/>
          <w:lang w:val="de-CH"/>
        </w:rPr>
        <w:t xml:space="preserve">Dank der Flexibilität der Mittelrinne ist die Passgenauigkeit in jeder üblichen Einbausituation gewährleistet. Sie erleichtert insbesondere den Einbau nebeneinanderliegender Fensterkombinationen unter Erhalt des </w:t>
      </w:r>
      <w:proofErr w:type="spellStart"/>
      <w:r w:rsidRPr="00EA4B54">
        <w:rPr>
          <w:rFonts w:cstheme="minorHAnsi"/>
          <w:bCs/>
          <w:sz w:val="22"/>
          <w:szCs w:val="22"/>
          <w:lang w:val="de-CH"/>
        </w:rPr>
        <w:t>Sparrens</w:t>
      </w:r>
      <w:proofErr w:type="spellEnd"/>
      <w:r w:rsidRPr="00EA4B54">
        <w:rPr>
          <w:rFonts w:cstheme="minorHAnsi"/>
          <w:bCs/>
          <w:sz w:val="22"/>
          <w:szCs w:val="22"/>
          <w:lang w:val="de-CH"/>
        </w:rPr>
        <w:t xml:space="preserve"> und in Austausch-Situationen mit Erweiterung der Fensterfläche auf eine Zweier-Kombination. Bisher musste vor dem eigentlichen Einbau-Termin der Sparrenabstand gemessen werden, um die Mittelrinne im exakt richtigen Abstand zu bestellen. Um diesen Schritt einzusparen und etwa beim Austausch auch Einbausituationen mit schiefen Dachsparren einfacher meistern zu können, führte </w:t>
      </w:r>
      <w:hyperlink r:id="rId11" w:history="1">
        <w:r w:rsidRPr="000C5401">
          <w:rPr>
            <w:rStyle w:val="Hyperlink"/>
            <w:rFonts w:cstheme="minorHAnsi"/>
            <w:bCs/>
            <w:sz w:val="22"/>
            <w:szCs w:val="22"/>
            <w:lang w:val="de-CH"/>
          </w:rPr>
          <w:t>Velux 2024 dafür die flexible Mittelrinne</w:t>
        </w:r>
      </w:hyperlink>
      <w:r w:rsidRPr="00EA4B54">
        <w:rPr>
          <w:rFonts w:cstheme="minorHAnsi"/>
          <w:bCs/>
          <w:sz w:val="22"/>
          <w:szCs w:val="22"/>
          <w:lang w:val="de-CH"/>
        </w:rPr>
        <w:t xml:space="preserve"> ein. Sie sorgt für deutlich mehr Flexibilität beim Einbau und eignet sich für Abstände von 10 - 16 cm zwischen den Dachfenstern. Bei der Montage wird sie unterhalb des linken Dachfensters angesetzt und dann auf den richtigen Fensterabstand eingestellt.</w:t>
      </w:r>
    </w:p>
    <w:p w14:paraId="2983C278" w14:textId="580548AE" w:rsidR="00DE224A" w:rsidRDefault="00DE224A" w:rsidP="00EA4B54">
      <w:pPr>
        <w:spacing w:line="276" w:lineRule="auto"/>
        <w:jc w:val="both"/>
        <w:rPr>
          <w:rFonts w:cstheme="minorHAnsi"/>
          <w:bCs/>
          <w:sz w:val="22"/>
          <w:szCs w:val="22"/>
          <w:lang w:val="de-CH"/>
        </w:rPr>
      </w:pPr>
      <w:r>
        <w:rPr>
          <w:rFonts w:cstheme="minorHAnsi"/>
          <w:bCs/>
          <w:sz w:val="22"/>
          <w:szCs w:val="22"/>
          <w:lang w:val="de-CH"/>
        </w:rPr>
        <w:t xml:space="preserve"> </w:t>
      </w:r>
    </w:p>
    <w:p w14:paraId="6765BFDB" w14:textId="77777777" w:rsidR="00DE224A" w:rsidRDefault="00DE224A" w:rsidP="00DE224A">
      <w:pPr>
        <w:spacing w:line="276" w:lineRule="auto"/>
        <w:jc w:val="both"/>
        <w:rPr>
          <w:rFonts w:cstheme="minorHAnsi"/>
          <w:bCs/>
          <w:sz w:val="22"/>
          <w:szCs w:val="22"/>
          <w:lang w:val="de-CH"/>
        </w:rPr>
      </w:pPr>
    </w:p>
    <w:p w14:paraId="344A79BC" w14:textId="53A49A72" w:rsidR="00394271" w:rsidRDefault="00394271" w:rsidP="00394271">
      <w:pPr>
        <w:spacing w:line="276" w:lineRule="auto"/>
        <w:jc w:val="both"/>
        <w:rPr>
          <w:rFonts w:cstheme="minorHAnsi"/>
          <w:bCs/>
          <w:sz w:val="22"/>
          <w:szCs w:val="22"/>
          <w:lang w:val="de-CH"/>
        </w:rPr>
      </w:pPr>
      <w:r>
        <w:rPr>
          <w:rFonts w:cstheme="minorHAnsi"/>
          <w:bCs/>
          <w:sz w:val="22"/>
          <w:szCs w:val="22"/>
          <w:lang w:val="de-CH"/>
        </w:rPr>
        <w:t xml:space="preserve">Das komplette Bildmaterial finden Sie auf dem </w:t>
      </w:r>
      <w:hyperlink r:id="rId12" w:history="1">
        <w:r w:rsidRPr="00AB503F">
          <w:rPr>
            <w:rStyle w:val="Hyperlink"/>
            <w:rFonts w:cstheme="minorHAnsi"/>
            <w:bCs/>
            <w:sz w:val="22"/>
            <w:szCs w:val="22"/>
            <w:lang w:val="de-CH"/>
          </w:rPr>
          <w:t xml:space="preserve">Velux </w:t>
        </w:r>
        <w:proofErr w:type="spellStart"/>
        <w:r w:rsidRPr="00AB503F">
          <w:rPr>
            <w:rStyle w:val="Hyperlink"/>
            <w:rFonts w:cstheme="minorHAnsi"/>
            <w:bCs/>
            <w:sz w:val="22"/>
            <w:szCs w:val="22"/>
            <w:lang w:val="de-CH"/>
          </w:rPr>
          <w:t>Newsroom</w:t>
        </w:r>
        <w:proofErr w:type="spellEnd"/>
      </w:hyperlink>
      <w:bookmarkStart w:id="0" w:name="_GoBack"/>
      <w:bookmarkEnd w:id="0"/>
      <w:r w:rsidRPr="00AB503F">
        <w:rPr>
          <w:rFonts w:cstheme="minorHAnsi"/>
          <w:bCs/>
          <w:sz w:val="22"/>
          <w:szCs w:val="22"/>
          <w:lang w:val="de-CH"/>
        </w:rPr>
        <w:t>.</w:t>
      </w:r>
    </w:p>
    <w:p w14:paraId="53638636" w14:textId="77777777" w:rsidR="00394271" w:rsidRPr="00394271" w:rsidRDefault="00394271" w:rsidP="00394271">
      <w:pPr>
        <w:pBdr>
          <w:bottom w:val="single" w:sz="4" w:space="1" w:color="auto"/>
        </w:pBdr>
        <w:spacing w:line="276" w:lineRule="auto"/>
        <w:jc w:val="both"/>
        <w:rPr>
          <w:rFonts w:cstheme="minorHAnsi"/>
          <w:bCs/>
          <w:sz w:val="22"/>
          <w:szCs w:val="22"/>
          <w:lang w:val="de-CH"/>
        </w:rPr>
      </w:pPr>
    </w:p>
    <w:p w14:paraId="7DFD1C91" w14:textId="77777777" w:rsidR="007C1615" w:rsidRPr="00C81380"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C81380">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lastRenderedPageBreak/>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r w:rsidRPr="00F97BFC">
              <w:rPr>
                <w:rFonts w:ascii="VELUX Transform" w:hAnsi="VELUX Transform" w:cs="Arial"/>
                <w:lang w:val="fr-CH" w:eastAsia="zh-CN"/>
              </w:rPr>
              <w:t xml:space="preserve">Mail: </w:t>
            </w:r>
            <w:hyperlink r:id="rId13" w:history="1">
              <w:r w:rsidR="00680BC3" w:rsidRPr="00A74B09">
                <w:rPr>
                  <w:rStyle w:val="Hyperlink"/>
                  <w:lang w:val="fr-CH"/>
                </w:rPr>
                <w:t>maik.seete@velux.com</w:t>
              </w:r>
            </w:hyperlink>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proofErr w:type="spellStart"/>
            <w:r w:rsidRPr="00C81380">
              <w:rPr>
                <w:rFonts w:ascii="VELUX Transform" w:hAnsi="VELUX Transform" w:cs="Arial"/>
                <w:lang w:val="de-CH" w:eastAsia="zh-CN"/>
              </w:rPr>
              <w:t>PRfact</w:t>
            </w:r>
            <w:proofErr w:type="spellEnd"/>
            <w:r w:rsidRPr="00C81380">
              <w:rPr>
                <w:rFonts w:ascii="VELUX Transform" w:hAnsi="VELUX Transform" w:cs="Arial"/>
                <w:lang w:val="de-CH" w:eastAsia="zh-CN"/>
              </w:rPr>
              <w:t xml:space="preserve">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633353D6"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Seefeldstrasse 229  </w:t>
            </w:r>
          </w:p>
          <w:p w14:paraId="432432F3"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8008 Zürich  </w:t>
            </w:r>
          </w:p>
          <w:p w14:paraId="5EC377EE"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Telefon +41 43 322 01 10 </w:t>
            </w:r>
          </w:p>
          <w:p w14:paraId="0BDCD5A2" w14:textId="77777777" w:rsidR="007C1615" w:rsidRPr="00C81380" w:rsidRDefault="00DC3B2D" w:rsidP="00383D2C">
            <w:pPr>
              <w:spacing w:line="276" w:lineRule="auto"/>
              <w:ind w:right="-994"/>
              <w:textAlignment w:val="baseline"/>
              <w:rPr>
                <w:rFonts w:ascii="VELUX Transform" w:hAnsi="VELUX Transform" w:cs="Arial"/>
                <w:lang w:val="de-CH" w:eastAsia="zh-CN"/>
              </w:rPr>
            </w:pPr>
            <w:hyperlink r:id="rId14"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D5D0E62" w14:textId="77777777" w:rsidR="00D961D0" w:rsidRPr="00C81380" w:rsidRDefault="00D961D0" w:rsidP="007C1615">
      <w:pPr>
        <w:jc w:val="both"/>
        <w:rPr>
          <w:rFonts w:cstheme="minorHAnsi"/>
          <w:lang w:val="de-CH"/>
        </w:rPr>
      </w:pPr>
    </w:p>
    <w:p w14:paraId="55FDA97B" w14:textId="77777777" w:rsidR="0051551E" w:rsidRPr="00C81380" w:rsidRDefault="00F465F9" w:rsidP="007C1615">
      <w:pPr>
        <w:jc w:val="both"/>
        <w:rPr>
          <w:rFonts w:cstheme="minorHAnsi"/>
          <w:b/>
          <w:bCs/>
          <w:lang w:val="de-CH"/>
        </w:rPr>
      </w:pPr>
      <w:r w:rsidRPr="00C81380">
        <w:rPr>
          <w:rFonts w:cstheme="minorHAnsi"/>
          <w:b/>
          <w:bCs/>
          <w:lang w:val="de-CH"/>
        </w:rPr>
        <w:t>Über die VELUX Gruppe</w:t>
      </w:r>
    </w:p>
    <w:p w14:paraId="7F5BB264" w14:textId="77777777" w:rsidR="0051551E" w:rsidRPr="00C81380" w:rsidRDefault="00F465F9" w:rsidP="007C1615">
      <w:pPr>
        <w:jc w:val="both"/>
        <w:rPr>
          <w:rFonts w:cstheme="minorHAnsi"/>
          <w:lang w:val="de-CH"/>
        </w:rPr>
      </w:pPr>
      <w:r w:rsidRPr="00C81380">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THE VELUX FOUNDATIONS insgesamt 184,6 Millionen Euro für wohltätige Zwecke. </w:t>
      </w:r>
    </w:p>
    <w:p w14:paraId="7BD796F1" w14:textId="77777777" w:rsidR="0051551E" w:rsidRPr="00C81380" w:rsidRDefault="0051551E" w:rsidP="007C1615">
      <w:pPr>
        <w:jc w:val="both"/>
        <w:rPr>
          <w:rFonts w:cstheme="minorHAnsi"/>
          <w:lang w:val="de-CH"/>
        </w:rPr>
      </w:pPr>
    </w:p>
    <w:p w14:paraId="18C69C0E" w14:textId="37AC1A18" w:rsidR="00F0599E" w:rsidRPr="00C81380" w:rsidRDefault="00F465F9" w:rsidP="007C1615">
      <w:pPr>
        <w:jc w:val="both"/>
        <w:rPr>
          <w:rStyle w:val="Hyperlink"/>
          <w:rFonts w:cstheme="minorHAnsi"/>
          <w:lang w:val="de-CH"/>
        </w:rPr>
      </w:pPr>
      <w:r w:rsidRPr="00C81380">
        <w:rPr>
          <w:rFonts w:cstheme="minorHAnsi"/>
          <w:lang w:val="de-CH"/>
        </w:rPr>
        <w:t xml:space="preserve">Weitere Informationen zur VELUX Gruppe finden Sie unter </w:t>
      </w:r>
      <w:hyperlink r:id="rId15" w:history="1">
        <w:r w:rsidR="00AD5948" w:rsidRPr="00C81380">
          <w:rPr>
            <w:rStyle w:val="Hyperlink"/>
            <w:rFonts w:cstheme="minorHAnsi"/>
            <w:lang w:val="de-CH"/>
          </w:rPr>
          <w:t>velux.com</w:t>
        </w:r>
      </w:hyperlink>
    </w:p>
    <w:p w14:paraId="6071EF45" w14:textId="0DF52121" w:rsidR="003B2214" w:rsidRPr="00C81380" w:rsidRDefault="003B2214" w:rsidP="007C1615">
      <w:pPr>
        <w:jc w:val="both"/>
        <w:rPr>
          <w:rStyle w:val="Hyperlink"/>
          <w:rFonts w:cstheme="minorHAnsi"/>
          <w:lang w:val="de-CH"/>
        </w:rPr>
      </w:pPr>
    </w:p>
    <w:p w14:paraId="1004BA85" w14:textId="77777777" w:rsidR="003B2214" w:rsidRPr="00C81380" w:rsidRDefault="003B2214" w:rsidP="007C1615">
      <w:pPr>
        <w:jc w:val="both"/>
        <w:rPr>
          <w:rStyle w:val="Hyperlink"/>
          <w:rFonts w:cstheme="minorHAnsi"/>
          <w:lang w:val="de-CH"/>
        </w:rPr>
      </w:pPr>
    </w:p>
    <w:p w14:paraId="5FCF1BF7" w14:textId="0F10907B" w:rsidR="00394271" w:rsidRDefault="002C5039" w:rsidP="002C5039">
      <w:pPr>
        <w:spacing w:after="160" w:line="259" w:lineRule="auto"/>
        <w:rPr>
          <w:rStyle w:val="Hyperlink"/>
          <w:rFonts w:cstheme="minorHAnsi"/>
          <w:b/>
          <w:u w:val="none"/>
          <w:lang w:val="de-CH"/>
        </w:rPr>
      </w:pPr>
      <w:r w:rsidRPr="00C81380">
        <w:rPr>
          <w:rStyle w:val="Hyperlink"/>
          <w:rFonts w:cstheme="minorHAnsi"/>
          <w:b/>
          <w:u w:val="none"/>
          <w:lang w:val="de-CH"/>
        </w:rPr>
        <w:t xml:space="preserve"> </w:t>
      </w:r>
    </w:p>
    <w:p w14:paraId="01162BBD" w14:textId="18489B26" w:rsidR="00394271" w:rsidRPr="00DE224A" w:rsidRDefault="00394271" w:rsidP="00DE224A">
      <w:pPr>
        <w:spacing w:after="160" w:line="259" w:lineRule="auto"/>
        <w:rPr>
          <w:rFonts w:cstheme="minorHAnsi"/>
          <w:b/>
          <w:color w:val="003366"/>
          <w:lang w:val="de-CH"/>
        </w:rPr>
      </w:pPr>
      <w:r>
        <w:rPr>
          <w:rFonts w:cs="Arial"/>
          <w:b/>
          <w:bCs/>
          <w:szCs w:val="22"/>
        </w:rPr>
        <w:t>Bildmaterial</w:t>
      </w:r>
    </w:p>
    <w:p w14:paraId="4A989986" w14:textId="5B54BFCB" w:rsidR="00394271" w:rsidRDefault="00394271" w:rsidP="00394271">
      <w:pPr>
        <w:spacing w:after="60" w:line="240" w:lineRule="auto"/>
        <w:rPr>
          <w:rFonts w:cs="Arial"/>
        </w:rPr>
      </w:pPr>
    </w:p>
    <w:p w14:paraId="1FBC1B87" w14:textId="77777777" w:rsidR="00EA4B54" w:rsidRDefault="00EA4B54" w:rsidP="00EA4B54">
      <w:pPr>
        <w:rPr>
          <w:b/>
        </w:rPr>
      </w:pPr>
      <w:r>
        <w:rPr>
          <w:b/>
        </w:rPr>
        <w:t>Bildunterschriften</w:t>
      </w:r>
    </w:p>
    <w:p w14:paraId="0E78D340" w14:textId="45CEE5DD" w:rsidR="00EA4B54" w:rsidRDefault="00EA4B54" w:rsidP="00EA4B54">
      <w:r>
        <w:rPr>
          <w:noProof/>
          <w:lang w:val="de-CH" w:eastAsia="de-CH" w:bidi="ar-SA"/>
        </w:rPr>
        <w:drawing>
          <wp:inline distT="0" distB="0" distL="0" distR="0" wp14:anchorId="753D75C7" wp14:editId="1EEEAF7C">
            <wp:extent cx="3596640" cy="2026920"/>
            <wp:effectExtent l="0" t="0" r="3810" b="0"/>
            <wp:docPr id="5" name="Grafik 5" descr="Ein Bild, das Gebäude, Person, Kleidung,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Ein Bild, das Gebäude, Person, Kleidung, Fenster enthält.&#10;&#10;Automatisch generierte Beschreibu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96640" cy="2026920"/>
                    </a:xfrm>
                    <a:prstGeom prst="rect">
                      <a:avLst/>
                    </a:prstGeom>
                    <a:noFill/>
                    <a:ln>
                      <a:noFill/>
                    </a:ln>
                  </pic:spPr>
                </pic:pic>
              </a:graphicData>
            </a:graphic>
          </wp:inline>
        </w:drawing>
      </w:r>
    </w:p>
    <w:p w14:paraId="4C4D037C" w14:textId="77777777" w:rsidR="00EA4B54" w:rsidRDefault="00EA4B54" w:rsidP="00EA4B54">
      <w:r>
        <w:t>[Foto: velux_kombi-eindeckrahmen_mittelrinne_3]</w:t>
      </w:r>
    </w:p>
    <w:p w14:paraId="418B7F98" w14:textId="77777777" w:rsidR="00EA4B54" w:rsidRDefault="00EA4B54" w:rsidP="00EA4B54">
      <w:pPr>
        <w:rPr>
          <w:i/>
        </w:rPr>
      </w:pPr>
      <w:r>
        <w:rPr>
          <w:i/>
        </w:rPr>
        <w:t>Ab sofort sind die Eindeckrahmen mit flexibler Mittelrinne auch für den vertieften Einbau und mit integriertem Dämm- und Anschluss-Set (BDX) erhältlich.</w:t>
      </w:r>
    </w:p>
    <w:p w14:paraId="1FAAB201" w14:textId="77777777" w:rsidR="00EA4B54" w:rsidRDefault="00EA4B54" w:rsidP="00EA4B54">
      <w:pPr>
        <w:jc w:val="right"/>
        <w:rPr>
          <w:i/>
        </w:rPr>
      </w:pPr>
      <w:r>
        <w:rPr>
          <w:i/>
        </w:rPr>
        <w:t>Foto: Velux</w:t>
      </w:r>
    </w:p>
    <w:p w14:paraId="727B8449" w14:textId="64A76600" w:rsidR="00EA4B54" w:rsidRDefault="00EA4B54" w:rsidP="00EA4B54">
      <w:r>
        <w:rPr>
          <w:noProof/>
          <w:lang w:val="de-CH" w:eastAsia="de-CH" w:bidi="ar-SA"/>
        </w:rPr>
        <w:drawing>
          <wp:inline distT="0" distB="0" distL="0" distR="0" wp14:anchorId="51DC5AFD" wp14:editId="52821D35">
            <wp:extent cx="3604260" cy="2697480"/>
            <wp:effectExtent l="0" t="0" r="0" b="7620"/>
            <wp:docPr id="4" name="Grafik 4" descr="Ein Bild, das Wolke, Gebäude, Himmel, drauß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Wolke, Gebäude, Himmel, draußen enthält.&#10;&#10;KI-generierte Inhalte können fehlerhaft se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4260" cy="2697480"/>
                    </a:xfrm>
                    <a:prstGeom prst="rect">
                      <a:avLst/>
                    </a:prstGeom>
                    <a:noFill/>
                    <a:ln>
                      <a:noFill/>
                    </a:ln>
                  </pic:spPr>
                </pic:pic>
              </a:graphicData>
            </a:graphic>
          </wp:inline>
        </w:drawing>
      </w:r>
    </w:p>
    <w:p w14:paraId="078EE001" w14:textId="77777777" w:rsidR="00EA4B54" w:rsidRPr="00EA4B54" w:rsidRDefault="00EA4B54" w:rsidP="00EA4B54">
      <w:pPr>
        <w:rPr>
          <w:lang w:val="it-CH"/>
        </w:rPr>
      </w:pPr>
      <w:r w:rsidRPr="00EA4B54">
        <w:rPr>
          <w:lang w:val="it-CH"/>
        </w:rPr>
        <w:t>[Foto: velux_indach_pv_solarpanel_duo_9614126]</w:t>
      </w:r>
    </w:p>
    <w:p w14:paraId="0F344708" w14:textId="77777777" w:rsidR="00EA4B54" w:rsidRDefault="00EA4B54" w:rsidP="00EA4B54">
      <w:pPr>
        <w:rPr>
          <w:i/>
        </w:rPr>
      </w:pPr>
      <w:bookmarkStart w:id="1" w:name="_Hlk193186144"/>
      <w:r>
        <w:rPr>
          <w:i/>
        </w:rPr>
        <w:t>Der neue Kombi-Eindeckrahmen OKL ermöglicht jetzt auch die einfache Integration von zwei Velux Dachfenstern nebeneinander in einer PV-</w:t>
      </w:r>
      <w:proofErr w:type="spellStart"/>
      <w:r>
        <w:rPr>
          <w:i/>
        </w:rPr>
        <w:t>Indach</w:t>
      </w:r>
      <w:proofErr w:type="spellEnd"/>
      <w:r>
        <w:rPr>
          <w:i/>
        </w:rPr>
        <w:t>-Anlage.</w:t>
      </w:r>
    </w:p>
    <w:bookmarkEnd w:id="1"/>
    <w:p w14:paraId="6395A804" w14:textId="77777777" w:rsidR="00EA4B54" w:rsidRDefault="00EA4B54" w:rsidP="00EA4B54">
      <w:pPr>
        <w:jc w:val="right"/>
        <w:rPr>
          <w:i/>
        </w:rPr>
      </w:pPr>
      <w:r>
        <w:rPr>
          <w:i/>
        </w:rPr>
        <w:t>Foto: Velux</w:t>
      </w:r>
    </w:p>
    <w:p w14:paraId="7F5B7E70" w14:textId="77777777" w:rsidR="00EA4B54" w:rsidRDefault="00EA4B54" w:rsidP="00EA4B54">
      <w:pPr>
        <w:rPr>
          <w:i/>
        </w:rPr>
      </w:pPr>
    </w:p>
    <w:p w14:paraId="740E787C" w14:textId="7948447B" w:rsidR="00EA4B54" w:rsidRDefault="00EA4B54" w:rsidP="00EA4B54">
      <w:pPr>
        <w:spacing w:after="60" w:line="240" w:lineRule="auto"/>
      </w:pPr>
      <w:r>
        <w:rPr>
          <w:noProof/>
          <w:lang w:val="de-CH" w:eastAsia="de-CH" w:bidi="ar-SA"/>
        </w:rPr>
        <w:drawing>
          <wp:inline distT="0" distB="0" distL="0" distR="0" wp14:anchorId="0D9B73F4" wp14:editId="10DFEB08">
            <wp:extent cx="3596640" cy="2598420"/>
            <wp:effectExtent l="0" t="0" r="3810" b="0"/>
            <wp:docPr id="1" name="Grafik 1" descr="Ein Bild, das Gebäude, Fenster, Menschliches Gesicht, Kleid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Gebäude, Fenster, Menschliches Gesicht, Kleidung enthält.&#10;&#10;KI-generierte Inhalte können fehlerhaft sei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96640" cy="2598420"/>
                    </a:xfrm>
                    <a:prstGeom prst="rect">
                      <a:avLst/>
                    </a:prstGeom>
                    <a:noFill/>
                    <a:ln>
                      <a:noFill/>
                    </a:ln>
                  </pic:spPr>
                </pic:pic>
              </a:graphicData>
            </a:graphic>
          </wp:inline>
        </w:drawing>
      </w:r>
    </w:p>
    <w:p w14:paraId="6A31192B" w14:textId="77777777" w:rsidR="00EA4B54" w:rsidRDefault="00EA4B54" w:rsidP="00EA4B54">
      <w:r>
        <w:t>[Foto: velux_bdx_10158801]</w:t>
      </w:r>
    </w:p>
    <w:p w14:paraId="789F64A7" w14:textId="77777777" w:rsidR="00EA4B54" w:rsidRDefault="00EA4B54" w:rsidP="00EA4B54">
      <w:pPr>
        <w:rPr>
          <w:i/>
        </w:rPr>
      </w:pPr>
      <w:r>
        <w:rPr>
          <w:i/>
        </w:rPr>
        <w:t>Um Handwerksbetrieben den Bestellprozess zu erleichtern, ist bei Velux das jeweils passende Dämm- und Anschluss-Set BDX jetzt auch bei den Eindeckrahmen für Zusatzelemente, Verlängerungsteile und die Lichtlösung Dachterrasse im Lieferumfang enthalten.</w:t>
      </w:r>
    </w:p>
    <w:p w14:paraId="15E5594D" w14:textId="77777777" w:rsidR="00EA4B54" w:rsidRDefault="00EA4B54" w:rsidP="00EA4B54">
      <w:pPr>
        <w:jc w:val="right"/>
        <w:rPr>
          <w:i/>
        </w:rPr>
      </w:pPr>
      <w:r>
        <w:rPr>
          <w:i/>
        </w:rPr>
        <w:t>Foto: Velux</w:t>
      </w:r>
    </w:p>
    <w:p w14:paraId="6767AACE" w14:textId="2EFC8A05" w:rsidR="00C81380" w:rsidRPr="00EA4B54" w:rsidRDefault="00C81380" w:rsidP="00EA4B54">
      <w:pPr>
        <w:spacing w:line="240" w:lineRule="auto"/>
        <w:rPr>
          <w:rStyle w:val="Hyperlink"/>
          <w:b/>
          <w:bCs/>
          <w:color w:val="auto"/>
          <w:u w:val="none"/>
        </w:rPr>
      </w:pPr>
    </w:p>
    <w:sectPr w:rsidR="00C81380" w:rsidRPr="00EA4B54" w:rsidSect="007C1615">
      <w:headerReference w:type="default" r:id="rId19"/>
      <w:footerReference w:type="default" r:id="rId20"/>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16AF5B" w16cex:dateUtc="2025-04-29T16:08:00Z"/>
  <w16cex:commentExtensible w16cex:durableId="657A4B81" w16cex:dateUtc="2025-04-29T16: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D895C0" w16cid:durableId="6516AF5B"/>
  <w16cid:commentId w16cid:paraId="6FCD9A72" w16cid:durableId="657A4B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573EF" w14:textId="524F1085" w:rsidR="00394271" w:rsidRPr="00394271" w:rsidRDefault="00F465F9" w:rsidP="0051551E">
    <w:pPr>
      <w:pStyle w:val="Kopfzeile"/>
      <w:rPr>
        <w:noProof/>
        <w:lang w:val="de-CH" w:eastAsia="de-CH" w:bidi="ar-SA"/>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Medienmitteilung – </w:t>
    </w:r>
    <w:r w:rsidR="00EA4B54">
      <w:rPr>
        <w:noProof/>
        <w:lang w:val="de-CH" w:eastAsia="de-CH" w:bidi="ar-SA"/>
      </w:rPr>
      <w:t>Produktneuheiten Herbst 2025</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13012"/>
    <w:rsid w:val="000309D1"/>
    <w:rsid w:val="000534F7"/>
    <w:rsid w:val="000576A1"/>
    <w:rsid w:val="00063981"/>
    <w:rsid w:val="00070707"/>
    <w:rsid w:val="00074003"/>
    <w:rsid w:val="00081F16"/>
    <w:rsid w:val="0008288D"/>
    <w:rsid w:val="00083350"/>
    <w:rsid w:val="000950FC"/>
    <w:rsid w:val="000A2039"/>
    <w:rsid w:val="000B3496"/>
    <w:rsid w:val="000B439C"/>
    <w:rsid w:val="000B7E1F"/>
    <w:rsid w:val="000C0ADC"/>
    <w:rsid w:val="000C1968"/>
    <w:rsid w:val="000C5401"/>
    <w:rsid w:val="000C5ED5"/>
    <w:rsid w:val="000D0DD4"/>
    <w:rsid w:val="000D4218"/>
    <w:rsid w:val="000E1709"/>
    <w:rsid w:val="000E27D4"/>
    <w:rsid w:val="000F198E"/>
    <w:rsid w:val="000F56CC"/>
    <w:rsid w:val="000F7688"/>
    <w:rsid w:val="0010053E"/>
    <w:rsid w:val="00105E83"/>
    <w:rsid w:val="00111046"/>
    <w:rsid w:val="00115879"/>
    <w:rsid w:val="001271BE"/>
    <w:rsid w:val="00142396"/>
    <w:rsid w:val="001459A4"/>
    <w:rsid w:val="00174969"/>
    <w:rsid w:val="00176E48"/>
    <w:rsid w:val="001878F6"/>
    <w:rsid w:val="001A099A"/>
    <w:rsid w:val="001A0DFF"/>
    <w:rsid w:val="001D2BD4"/>
    <w:rsid w:val="001D5638"/>
    <w:rsid w:val="001D730A"/>
    <w:rsid w:val="001E1810"/>
    <w:rsid w:val="001E5A38"/>
    <w:rsid w:val="00201624"/>
    <w:rsid w:val="0020682E"/>
    <w:rsid w:val="00215588"/>
    <w:rsid w:val="00220ACA"/>
    <w:rsid w:val="0022232B"/>
    <w:rsid w:val="002310E9"/>
    <w:rsid w:val="00243B39"/>
    <w:rsid w:val="0024543F"/>
    <w:rsid w:val="002464E2"/>
    <w:rsid w:val="00246E50"/>
    <w:rsid w:val="00247929"/>
    <w:rsid w:val="00253ED2"/>
    <w:rsid w:val="00267D8F"/>
    <w:rsid w:val="002725D0"/>
    <w:rsid w:val="00273083"/>
    <w:rsid w:val="002755E4"/>
    <w:rsid w:val="002766F8"/>
    <w:rsid w:val="00293171"/>
    <w:rsid w:val="00294D36"/>
    <w:rsid w:val="002A35CA"/>
    <w:rsid w:val="002A3F4E"/>
    <w:rsid w:val="002A4099"/>
    <w:rsid w:val="002B7FFA"/>
    <w:rsid w:val="002C4493"/>
    <w:rsid w:val="002C5039"/>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601BC"/>
    <w:rsid w:val="003712D5"/>
    <w:rsid w:val="003770AF"/>
    <w:rsid w:val="00390538"/>
    <w:rsid w:val="00390E8E"/>
    <w:rsid w:val="00393024"/>
    <w:rsid w:val="00394271"/>
    <w:rsid w:val="00394646"/>
    <w:rsid w:val="0039625E"/>
    <w:rsid w:val="0039762C"/>
    <w:rsid w:val="003B2214"/>
    <w:rsid w:val="003B4E9D"/>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0C64"/>
    <w:rsid w:val="004B1AEC"/>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621F3"/>
    <w:rsid w:val="00577B00"/>
    <w:rsid w:val="005818DD"/>
    <w:rsid w:val="005915B9"/>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35D7D"/>
    <w:rsid w:val="00637D8F"/>
    <w:rsid w:val="00640FB9"/>
    <w:rsid w:val="00654A39"/>
    <w:rsid w:val="006559B2"/>
    <w:rsid w:val="006643D2"/>
    <w:rsid w:val="00666023"/>
    <w:rsid w:val="00671607"/>
    <w:rsid w:val="00677443"/>
    <w:rsid w:val="00680BC3"/>
    <w:rsid w:val="006858C8"/>
    <w:rsid w:val="00690D36"/>
    <w:rsid w:val="006A1C98"/>
    <w:rsid w:val="006B547C"/>
    <w:rsid w:val="006D10AA"/>
    <w:rsid w:val="006D119D"/>
    <w:rsid w:val="006D4DB7"/>
    <w:rsid w:val="006E0B07"/>
    <w:rsid w:val="006F388C"/>
    <w:rsid w:val="006F4459"/>
    <w:rsid w:val="006F55DB"/>
    <w:rsid w:val="0070124A"/>
    <w:rsid w:val="00711ACE"/>
    <w:rsid w:val="007209DE"/>
    <w:rsid w:val="00723272"/>
    <w:rsid w:val="0072725C"/>
    <w:rsid w:val="007356AF"/>
    <w:rsid w:val="00740D70"/>
    <w:rsid w:val="00750566"/>
    <w:rsid w:val="00755703"/>
    <w:rsid w:val="00757D9D"/>
    <w:rsid w:val="00767990"/>
    <w:rsid w:val="00776C89"/>
    <w:rsid w:val="00780561"/>
    <w:rsid w:val="00784974"/>
    <w:rsid w:val="00791EFA"/>
    <w:rsid w:val="007A2C37"/>
    <w:rsid w:val="007A36F3"/>
    <w:rsid w:val="007A5B6D"/>
    <w:rsid w:val="007A7A74"/>
    <w:rsid w:val="007B50C3"/>
    <w:rsid w:val="007B6689"/>
    <w:rsid w:val="007C1615"/>
    <w:rsid w:val="007C3FAB"/>
    <w:rsid w:val="007D2056"/>
    <w:rsid w:val="007D60FC"/>
    <w:rsid w:val="007E67DA"/>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7851"/>
    <w:rsid w:val="00882308"/>
    <w:rsid w:val="00892DE5"/>
    <w:rsid w:val="00893398"/>
    <w:rsid w:val="008B5A48"/>
    <w:rsid w:val="008B5E47"/>
    <w:rsid w:val="008B5F5D"/>
    <w:rsid w:val="008C0DA2"/>
    <w:rsid w:val="008D3460"/>
    <w:rsid w:val="008D722E"/>
    <w:rsid w:val="008E1342"/>
    <w:rsid w:val="008F10E1"/>
    <w:rsid w:val="008F27C1"/>
    <w:rsid w:val="008F3AC4"/>
    <w:rsid w:val="00901446"/>
    <w:rsid w:val="00903FE9"/>
    <w:rsid w:val="00914C04"/>
    <w:rsid w:val="00915058"/>
    <w:rsid w:val="00915442"/>
    <w:rsid w:val="009178FC"/>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1FB4"/>
    <w:rsid w:val="00A3777A"/>
    <w:rsid w:val="00A43930"/>
    <w:rsid w:val="00A46978"/>
    <w:rsid w:val="00A53B31"/>
    <w:rsid w:val="00A577B7"/>
    <w:rsid w:val="00A67982"/>
    <w:rsid w:val="00A72B07"/>
    <w:rsid w:val="00A750FB"/>
    <w:rsid w:val="00A76793"/>
    <w:rsid w:val="00A76D7F"/>
    <w:rsid w:val="00A83E5F"/>
    <w:rsid w:val="00A841AF"/>
    <w:rsid w:val="00A90719"/>
    <w:rsid w:val="00A91DF0"/>
    <w:rsid w:val="00A95440"/>
    <w:rsid w:val="00A959CC"/>
    <w:rsid w:val="00A9700B"/>
    <w:rsid w:val="00A973F5"/>
    <w:rsid w:val="00AA3A2D"/>
    <w:rsid w:val="00AB3B40"/>
    <w:rsid w:val="00AB503F"/>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83C"/>
    <w:rsid w:val="00B82B29"/>
    <w:rsid w:val="00B82E56"/>
    <w:rsid w:val="00B83D11"/>
    <w:rsid w:val="00B86B3E"/>
    <w:rsid w:val="00B909D9"/>
    <w:rsid w:val="00B94837"/>
    <w:rsid w:val="00B94FAE"/>
    <w:rsid w:val="00BA5073"/>
    <w:rsid w:val="00BB6FD0"/>
    <w:rsid w:val="00BC1249"/>
    <w:rsid w:val="00BC3824"/>
    <w:rsid w:val="00BC7F59"/>
    <w:rsid w:val="00BD15E3"/>
    <w:rsid w:val="00BD48BB"/>
    <w:rsid w:val="00BE37B6"/>
    <w:rsid w:val="00BF0D82"/>
    <w:rsid w:val="00C12687"/>
    <w:rsid w:val="00C12C75"/>
    <w:rsid w:val="00C1480F"/>
    <w:rsid w:val="00C242C8"/>
    <w:rsid w:val="00C40D57"/>
    <w:rsid w:val="00C42B4C"/>
    <w:rsid w:val="00C467CB"/>
    <w:rsid w:val="00C505E4"/>
    <w:rsid w:val="00C50D94"/>
    <w:rsid w:val="00C60972"/>
    <w:rsid w:val="00C627F8"/>
    <w:rsid w:val="00C649AF"/>
    <w:rsid w:val="00C81380"/>
    <w:rsid w:val="00C90912"/>
    <w:rsid w:val="00C9504D"/>
    <w:rsid w:val="00CC17FB"/>
    <w:rsid w:val="00CC2F18"/>
    <w:rsid w:val="00CE6A60"/>
    <w:rsid w:val="00CF17CC"/>
    <w:rsid w:val="00CF191E"/>
    <w:rsid w:val="00CF4FC5"/>
    <w:rsid w:val="00CF76F5"/>
    <w:rsid w:val="00D023AB"/>
    <w:rsid w:val="00D029D0"/>
    <w:rsid w:val="00D050CC"/>
    <w:rsid w:val="00D138E2"/>
    <w:rsid w:val="00D15791"/>
    <w:rsid w:val="00D26447"/>
    <w:rsid w:val="00D453C4"/>
    <w:rsid w:val="00D53AD7"/>
    <w:rsid w:val="00D547C4"/>
    <w:rsid w:val="00D55BB2"/>
    <w:rsid w:val="00D56AC4"/>
    <w:rsid w:val="00D6225D"/>
    <w:rsid w:val="00D634BA"/>
    <w:rsid w:val="00D63E31"/>
    <w:rsid w:val="00D64BCB"/>
    <w:rsid w:val="00D64F78"/>
    <w:rsid w:val="00D7778A"/>
    <w:rsid w:val="00D951EC"/>
    <w:rsid w:val="00D961D0"/>
    <w:rsid w:val="00D979FA"/>
    <w:rsid w:val="00DA2C73"/>
    <w:rsid w:val="00DA3227"/>
    <w:rsid w:val="00DA3636"/>
    <w:rsid w:val="00DA63AC"/>
    <w:rsid w:val="00DB3EBC"/>
    <w:rsid w:val="00DB52E0"/>
    <w:rsid w:val="00DC19DF"/>
    <w:rsid w:val="00DC3B2D"/>
    <w:rsid w:val="00DE224A"/>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6A48"/>
    <w:rsid w:val="00E81E12"/>
    <w:rsid w:val="00E92BB2"/>
    <w:rsid w:val="00EA0A06"/>
    <w:rsid w:val="00EA4B54"/>
    <w:rsid w:val="00EA5246"/>
    <w:rsid w:val="00EB206D"/>
    <w:rsid w:val="00EB37E2"/>
    <w:rsid w:val="00EB3CC1"/>
    <w:rsid w:val="00EC1156"/>
    <w:rsid w:val="00EC5ED5"/>
    <w:rsid w:val="00EC7730"/>
    <w:rsid w:val="00ED75FD"/>
    <w:rsid w:val="00EF4E00"/>
    <w:rsid w:val="00EF5D2A"/>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6F3A"/>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1380"/>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569415106">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ik.seete@velux.com"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ntTable" Target="fontTable.xml"/><Relationship Id="rId42"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press.velux.ch/noch-mehr-neue-velux-eindeckrahmen-varianten"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1.xm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flexiblerer-einbau-einfachere-bestellung--dank-verbessertem-kombi-eindeckrahmen/" TargetMode="External"/><Relationship Id="rId5" Type="http://schemas.openxmlformats.org/officeDocument/2006/relationships/numbering" Target="numbering.xml"/><Relationship Id="rId15" Type="http://schemas.openxmlformats.org/officeDocument/2006/relationships/hyperlink" Target="https://www.velux.co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elux@prfact.ch"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2.xml><?xml version="1.0" encoding="utf-8"?>
<ds:datastoreItem xmlns:ds="http://schemas.openxmlformats.org/officeDocument/2006/customXml" ds:itemID="{1794B7FD-7F20-4C7E-B8CE-93C6B5B72109}">
  <ds:schemaRefs>
    <ds:schemaRef ds:uri="http://schemas.microsoft.com/office/2006/metadata/properties"/>
    <ds:schemaRef ds:uri="http://schemas.microsoft.com/office/infopath/2007/PartnerControls"/>
    <ds:schemaRef ds:uri="990a86f5-91e8-4533-a35a-82aebf6aca6c"/>
    <ds:schemaRef ds:uri="a48b66a7-0aee-4334-a896-f15fd1a050cc"/>
  </ds:schemaRefs>
</ds:datastoreItem>
</file>

<file path=customXml/itemProps3.xml><?xml version="1.0" encoding="utf-8"?>
<ds:datastoreItem xmlns:ds="http://schemas.openxmlformats.org/officeDocument/2006/customXml" ds:itemID="{7034ADB5-7BEC-4180-874B-4806AF6D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489359-EADA-4F25-B579-D8075B75D51E}">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823</Words>
  <Characters>5189</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28</cp:revision>
  <cp:lastPrinted>2024-10-23T08:56:00Z</cp:lastPrinted>
  <dcterms:created xsi:type="dcterms:W3CDTF">2025-04-29T15:59:00Z</dcterms:created>
  <dcterms:modified xsi:type="dcterms:W3CDTF">2025-10-09T12:22:00Z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