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D5A12" w14:textId="713728C3" w:rsidR="004D3B07" w:rsidRPr="00182B43" w:rsidRDefault="004565E0" w:rsidP="00C6517D">
      <w:pPr>
        <w:pStyle w:val="StandardWeb"/>
        <w:spacing w:before="0" w:beforeAutospacing="0" w:after="120" w:afterAutospacing="0" w:line="360" w:lineRule="auto"/>
        <w:rPr>
          <w:rFonts w:ascii="VELUX Transform" w:hAnsi="VELUX Transform" w:cs="Arial"/>
          <w:sz w:val="22"/>
          <w:szCs w:val="22"/>
          <w:lang w:val="fr-CH"/>
        </w:rPr>
      </w:pPr>
      <w:proofErr w:type="spellStart"/>
      <w:r w:rsidRPr="00182B43">
        <w:rPr>
          <w:rFonts w:ascii="VELUX Transform" w:hAnsi="VELUX Transform" w:cs="Arial"/>
          <w:sz w:val="22"/>
          <w:szCs w:val="22"/>
          <w:lang w:val="fr-CH"/>
        </w:rPr>
        <w:t>Objektbericht</w:t>
      </w:r>
      <w:proofErr w:type="spellEnd"/>
      <w:r w:rsidR="00217015" w:rsidRPr="00182B43">
        <w:rPr>
          <w:rFonts w:ascii="VELUX Transform" w:hAnsi="VELUX Transform" w:cs="Arial"/>
          <w:sz w:val="22"/>
          <w:szCs w:val="22"/>
          <w:lang w:val="fr-CH"/>
        </w:rPr>
        <w:t xml:space="preserve"> </w:t>
      </w:r>
      <w:r w:rsidR="00ED48A5" w:rsidRPr="00182B43">
        <w:rPr>
          <w:rFonts w:ascii="VELUX Transform" w:hAnsi="VELUX Transform" w:cs="Arial"/>
          <w:sz w:val="22"/>
          <w:szCs w:val="22"/>
          <w:lang w:val="fr-CH"/>
        </w:rPr>
        <w:t>V</w:t>
      </w:r>
      <w:r w:rsidR="006B2E15" w:rsidRPr="00182B43">
        <w:rPr>
          <w:rFonts w:ascii="VELUX Transform" w:hAnsi="VELUX Transform" w:cs="Arial"/>
          <w:sz w:val="22"/>
          <w:szCs w:val="22"/>
          <w:lang w:val="fr-CH"/>
        </w:rPr>
        <w:t>ELUX</w:t>
      </w:r>
      <w:r w:rsidR="00ED48A5" w:rsidRPr="00182B43">
        <w:rPr>
          <w:rFonts w:ascii="VELUX Transform" w:hAnsi="VELUX Transform" w:cs="Arial"/>
          <w:sz w:val="22"/>
          <w:szCs w:val="22"/>
          <w:lang w:val="fr-CH"/>
        </w:rPr>
        <w:t xml:space="preserve"> </w:t>
      </w:r>
      <w:proofErr w:type="gramStart"/>
      <w:r w:rsidR="00761827" w:rsidRPr="00182B43">
        <w:rPr>
          <w:rFonts w:ascii="VELUX Transform" w:hAnsi="VELUX Transform" w:cs="Arial"/>
          <w:sz w:val="22"/>
          <w:szCs w:val="22"/>
          <w:lang w:val="fr-CH"/>
        </w:rPr>
        <w:t>Commercial</w:t>
      </w:r>
      <w:r w:rsidRPr="00182B43">
        <w:rPr>
          <w:rFonts w:ascii="VELUX Transform" w:hAnsi="VELUX Transform" w:cs="Arial"/>
          <w:sz w:val="22"/>
          <w:szCs w:val="22"/>
          <w:lang w:val="fr-CH"/>
        </w:rPr>
        <w:t>:</w:t>
      </w:r>
      <w:proofErr w:type="gramEnd"/>
      <w:r w:rsidRPr="00182B43">
        <w:rPr>
          <w:rFonts w:ascii="VELUX Transform" w:hAnsi="VELUX Transform" w:cs="Arial"/>
          <w:sz w:val="22"/>
          <w:szCs w:val="22"/>
          <w:lang w:val="fr-CH"/>
        </w:rPr>
        <w:t xml:space="preserve"> </w:t>
      </w:r>
      <w:proofErr w:type="spellStart"/>
      <w:r w:rsidR="007B34E9" w:rsidRPr="00182B43">
        <w:rPr>
          <w:rFonts w:ascii="VELUX Transform" w:hAnsi="VELUX Transform" w:cs="Arial"/>
          <w:sz w:val="22"/>
          <w:szCs w:val="22"/>
          <w:lang w:val="fr-CH"/>
        </w:rPr>
        <w:t>Nautiland</w:t>
      </w:r>
      <w:proofErr w:type="spellEnd"/>
      <w:r w:rsidR="007B34E9" w:rsidRPr="00182B43">
        <w:rPr>
          <w:rFonts w:ascii="VELUX Transform" w:hAnsi="VELUX Transform" w:cs="Arial"/>
          <w:sz w:val="22"/>
          <w:szCs w:val="22"/>
          <w:lang w:val="fr-CH"/>
        </w:rPr>
        <w:t xml:space="preserve"> </w:t>
      </w:r>
      <w:proofErr w:type="spellStart"/>
      <w:r w:rsidR="007B34E9" w:rsidRPr="00182B43">
        <w:rPr>
          <w:rFonts w:ascii="VELUX Transform" w:hAnsi="VELUX Transform" w:cs="Arial"/>
          <w:sz w:val="22"/>
          <w:szCs w:val="22"/>
          <w:lang w:val="fr-CH"/>
        </w:rPr>
        <w:t>Aquatic</w:t>
      </w:r>
      <w:proofErr w:type="spellEnd"/>
      <w:r w:rsidR="007B34E9" w:rsidRPr="00182B43">
        <w:rPr>
          <w:rFonts w:ascii="VELUX Transform" w:hAnsi="VELUX Transform" w:cs="Arial"/>
          <w:sz w:val="22"/>
          <w:szCs w:val="22"/>
          <w:lang w:val="fr-CH"/>
        </w:rPr>
        <w:t xml:space="preserve"> Centre</w:t>
      </w:r>
    </w:p>
    <w:p w14:paraId="2E63CEDE" w14:textId="0B444DFC" w:rsidR="0013208F" w:rsidRDefault="007B34E9" w:rsidP="006454D4">
      <w:pPr>
        <w:pStyle w:val="StandardWeb"/>
        <w:spacing w:line="360" w:lineRule="auto"/>
        <w:jc w:val="both"/>
        <w:rPr>
          <w:rFonts w:ascii="VELUX Transform Headline" w:hAnsi="VELUX Transform Headline" w:cs="Arial"/>
          <w:b/>
          <w:sz w:val="32"/>
          <w:szCs w:val="32"/>
          <w:lang w:val="de-CH"/>
        </w:rPr>
      </w:pPr>
      <w:r w:rsidRPr="008D5DF3">
        <w:rPr>
          <w:rFonts w:ascii="VELUX Transform Headline" w:hAnsi="VELUX Transform Headline" w:cs="Arial"/>
          <w:b/>
          <w:sz w:val="32"/>
          <w:szCs w:val="32"/>
          <w:lang w:val="de-CH"/>
        </w:rPr>
        <w:t>Schwimmen mit Blick in den Himmel</w:t>
      </w:r>
    </w:p>
    <w:p w14:paraId="2E103F42" w14:textId="1DF01CA5" w:rsidR="000E432F" w:rsidRDefault="006454D4"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
          <w:bCs/>
          <w:sz w:val="22"/>
          <w:szCs w:val="22"/>
          <w:lang w:val="de-CH"/>
        </w:rPr>
        <w:t xml:space="preserve">Aarburg, </w:t>
      </w:r>
      <w:r w:rsidR="007B34E9">
        <w:rPr>
          <w:rFonts w:ascii="VELUX Transform" w:hAnsi="VELUX Transform" w:cs="Arial"/>
          <w:b/>
          <w:bCs/>
          <w:sz w:val="22"/>
          <w:szCs w:val="22"/>
          <w:lang w:val="de-CH"/>
        </w:rPr>
        <w:t>August</w:t>
      </w:r>
      <w:r>
        <w:rPr>
          <w:rFonts w:ascii="VELUX Transform" w:hAnsi="VELUX Transform" w:cs="Arial"/>
          <w:b/>
          <w:bCs/>
          <w:sz w:val="22"/>
          <w:szCs w:val="22"/>
          <w:lang w:val="de-CH"/>
        </w:rPr>
        <w:t xml:space="preserve"> 2024</w:t>
      </w:r>
      <w:r>
        <w:rPr>
          <w:rFonts w:ascii="VELUX Transform" w:hAnsi="VELUX Transform" w:cs="Arial"/>
          <w:bCs/>
          <w:sz w:val="22"/>
          <w:szCs w:val="22"/>
          <w:lang w:val="de-CH"/>
        </w:rPr>
        <w:t xml:space="preserve"> –</w:t>
      </w:r>
      <w:r w:rsidR="00D60AFF">
        <w:rPr>
          <w:rFonts w:ascii="VELUX Transform" w:hAnsi="VELUX Transform" w:cs="Arial"/>
          <w:bCs/>
          <w:sz w:val="22"/>
          <w:szCs w:val="22"/>
          <w:lang w:val="de-CH"/>
        </w:rPr>
        <w:t xml:space="preserve"> </w:t>
      </w:r>
      <w:r w:rsidR="007B34E9">
        <w:rPr>
          <w:rFonts w:ascii="VELUX Transform" w:hAnsi="VELUX Transform" w:cs="Arial"/>
          <w:bCs/>
          <w:sz w:val="22"/>
          <w:szCs w:val="22"/>
          <w:lang w:val="de-CH"/>
        </w:rPr>
        <w:t xml:space="preserve">Ob Sportbecken, Wellnessbereich oder Kinderzone: Räume mit chlorhaltigem Wasser bringen spezielle Herausforderungen in Bezug auf verwendete Materialien und Systeme mit sich. Kondensat und Korrosionen verkürzen die Lebensdauer der Komponenten und können infolgedessen zu hohen Instandhaltungskosten führen. Die naturgemäss hohe Luftfeuchtigkeit in Schwimmhallen erfordert zudem durchdachte Lüftungsstrategien und Massnahmen zur Sicherstellung eines optimalen Raumluftklimas. Daher sind spezielle Lösungen gefragt, um sowohl Badegäste als auch Eigentümer zu überzeugen. Als Komplettanbieter bietet VELUX Commercial Tages- und Frischluftlösungen für öffentliche und gewerbliche Bauten. </w:t>
      </w:r>
    </w:p>
    <w:p w14:paraId="741EF4DD" w14:textId="53A30159" w:rsidR="007B34E9" w:rsidRDefault="008D5DF3"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Schwimmen</w:t>
      </w:r>
      <w:r w:rsidR="007B34E9">
        <w:rPr>
          <w:rFonts w:ascii="VELUX Transform" w:hAnsi="VELUX Transform" w:cs="Arial"/>
          <w:bCs/>
          <w:sz w:val="22"/>
          <w:szCs w:val="22"/>
          <w:lang w:val="de-CH"/>
        </w:rPr>
        <w:t xml:space="preserve"> ist eine Aktivität, die nach wie vor bevorzugt im Freien stattfindet. Um das Gefühl jedoch auch in Innenräume zu transportieren, spielt die Verbindung zur Aussenwelt eine entscheidende Rolle. Die Tageslichtnorm </w:t>
      </w:r>
      <w:r>
        <w:rPr>
          <w:rFonts w:ascii="VELUX Transform" w:hAnsi="VELUX Transform" w:cs="Arial"/>
          <w:bCs/>
          <w:sz w:val="22"/>
          <w:szCs w:val="22"/>
          <w:lang w:val="de-CH"/>
        </w:rPr>
        <w:t>SN</w:t>
      </w:r>
      <w:r w:rsidR="007B34E9">
        <w:rPr>
          <w:rFonts w:ascii="VELUX Transform" w:hAnsi="VELUX Transform" w:cs="Arial"/>
          <w:bCs/>
          <w:sz w:val="22"/>
          <w:szCs w:val="22"/>
          <w:lang w:val="de-CH"/>
        </w:rPr>
        <w:t xml:space="preserve"> EN 17037 </w:t>
      </w:r>
      <w:r>
        <w:rPr>
          <w:rFonts w:ascii="VELUX Transform" w:hAnsi="VELUX Transform" w:cs="Arial"/>
          <w:bCs/>
          <w:sz w:val="22"/>
          <w:szCs w:val="22"/>
          <w:lang w:val="de-CH"/>
        </w:rPr>
        <w:t>liefert Richtwerte</w:t>
      </w:r>
      <w:r w:rsidR="007B34E9">
        <w:rPr>
          <w:rFonts w:ascii="VELUX Transform" w:hAnsi="VELUX Transform" w:cs="Arial"/>
          <w:bCs/>
          <w:sz w:val="22"/>
          <w:szCs w:val="22"/>
          <w:lang w:val="de-CH"/>
        </w:rPr>
        <w:t xml:space="preserve"> </w:t>
      </w:r>
      <w:r>
        <w:rPr>
          <w:rFonts w:ascii="VELUX Transform" w:hAnsi="VELUX Transform" w:cs="Arial"/>
          <w:bCs/>
          <w:sz w:val="22"/>
          <w:szCs w:val="22"/>
          <w:lang w:val="de-CH"/>
        </w:rPr>
        <w:t>für eine angemessene Tageslichtversorgung in Innenräumen. Darunter auch</w:t>
      </w:r>
      <w:r w:rsidR="007B34E9">
        <w:rPr>
          <w:rFonts w:ascii="VELUX Transform" w:hAnsi="VELUX Transform" w:cs="Arial"/>
          <w:bCs/>
          <w:sz w:val="22"/>
          <w:szCs w:val="22"/>
          <w:lang w:val="de-CH"/>
        </w:rPr>
        <w:t xml:space="preserve"> die «Sichtverbindung nach aussen», </w:t>
      </w:r>
      <w:r w:rsidR="00182B43">
        <w:rPr>
          <w:rFonts w:ascii="VELUX Transform" w:hAnsi="VELUX Transform" w:cs="Arial"/>
          <w:bCs/>
          <w:sz w:val="22"/>
          <w:szCs w:val="22"/>
          <w:lang w:val="de-CH"/>
        </w:rPr>
        <w:t xml:space="preserve">welche Qualitätsanforderungen liefert, ob man den Boden, die Landschaft und/oder den Himmel beim Blick nach draussen von verschiedenen Positionen im Raum </w:t>
      </w:r>
      <w:proofErr w:type="gramStart"/>
      <w:r w:rsidR="00182B43">
        <w:rPr>
          <w:rFonts w:ascii="VELUX Transform" w:hAnsi="VELUX Transform" w:cs="Arial"/>
          <w:bCs/>
          <w:sz w:val="22"/>
          <w:szCs w:val="22"/>
          <w:lang w:val="de-CH"/>
        </w:rPr>
        <w:t>aus sieht</w:t>
      </w:r>
      <w:proofErr w:type="gramEnd"/>
      <w:r w:rsidR="007B34E9">
        <w:rPr>
          <w:rFonts w:ascii="VELUX Transform" w:hAnsi="VELUX Transform" w:cs="Arial"/>
          <w:bCs/>
          <w:sz w:val="22"/>
          <w:szCs w:val="22"/>
          <w:lang w:val="de-CH"/>
        </w:rPr>
        <w:t>. Glasflächen im Dach und der Fassade ermöglichen es den Badegästen, ungehindert ins Freie zu blicken und Himmel, Landschaft und Boden klar und farbneutral wahrzunehmen. Besonders in grossen Schwimmhallen mit tiefen Grundrissen können Oberlichter die Atmosphäre verbessern, indem sie selbst in den mittig gelegenen Bereichen eine gleichmässige Beleuchtung ermöglichen.</w:t>
      </w:r>
    </w:p>
    <w:p w14:paraId="1B04AA34" w14:textId="77777777" w:rsidR="006F1F57" w:rsidRDefault="006F1F57" w:rsidP="006F1F57">
      <w:pPr>
        <w:pStyle w:val="StandardWeb"/>
        <w:spacing w:line="360" w:lineRule="auto"/>
        <w:jc w:val="both"/>
        <w:rPr>
          <w:rFonts w:ascii="VELUX Transform" w:hAnsi="VELUX Transform" w:cs="Arial"/>
          <w:b/>
          <w:bCs/>
          <w:sz w:val="22"/>
          <w:szCs w:val="22"/>
          <w:lang w:val="de-CH"/>
        </w:rPr>
      </w:pPr>
      <w:r w:rsidRPr="007B34E9">
        <w:rPr>
          <w:rFonts w:ascii="VELUX Transform" w:hAnsi="VELUX Transform" w:cs="Arial"/>
          <w:b/>
          <w:bCs/>
          <w:sz w:val="22"/>
          <w:szCs w:val="22"/>
          <w:lang w:val="de-CH"/>
        </w:rPr>
        <w:t>Grossflächiges Glasdach für eine atemberaubende Atmosphäre</w:t>
      </w:r>
    </w:p>
    <w:p w14:paraId="3793B255" w14:textId="57BB71AD" w:rsidR="007B34E9" w:rsidRDefault="006E6E5E"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Wie eine Tages- und Frischluftversorgung in einem Schwimmbad optimal funktioniert, zeigt ein Referen</w:t>
      </w:r>
      <w:r w:rsidR="009542CF">
        <w:rPr>
          <w:rFonts w:ascii="VELUX Transform" w:hAnsi="VELUX Transform" w:cs="Arial"/>
          <w:bCs/>
          <w:sz w:val="22"/>
          <w:szCs w:val="22"/>
          <w:lang w:val="de-CH"/>
        </w:rPr>
        <w:t>z</w:t>
      </w:r>
      <w:r>
        <w:rPr>
          <w:rFonts w:ascii="VELUX Transform" w:hAnsi="VELUX Transform" w:cs="Arial"/>
          <w:bCs/>
          <w:sz w:val="22"/>
          <w:szCs w:val="22"/>
          <w:lang w:val="de-CH"/>
        </w:rPr>
        <w:t xml:space="preserve">projekt von VELUX Commercial in Frankreich. </w:t>
      </w:r>
      <w:r w:rsidR="007B34E9" w:rsidRPr="007B34E9">
        <w:rPr>
          <w:rFonts w:ascii="VELUX Transform" w:hAnsi="VELUX Transform" w:cs="Arial"/>
          <w:bCs/>
          <w:sz w:val="22"/>
          <w:szCs w:val="22"/>
          <w:lang w:val="de-CH"/>
        </w:rPr>
        <w:t>Das «</w:t>
      </w:r>
      <w:proofErr w:type="spellStart"/>
      <w:r w:rsidR="007B34E9" w:rsidRPr="007B34E9">
        <w:rPr>
          <w:rFonts w:ascii="VELUX Transform" w:hAnsi="VELUX Transform" w:cs="Arial"/>
          <w:bCs/>
          <w:sz w:val="22"/>
          <w:szCs w:val="22"/>
          <w:lang w:val="de-CH"/>
        </w:rPr>
        <w:t>Nautiland</w:t>
      </w:r>
      <w:proofErr w:type="spellEnd"/>
      <w:r w:rsidR="007B34E9" w:rsidRPr="007B34E9">
        <w:rPr>
          <w:rFonts w:ascii="VELUX Transform" w:hAnsi="VELUX Transform" w:cs="Arial"/>
          <w:bCs/>
          <w:sz w:val="22"/>
          <w:szCs w:val="22"/>
          <w:lang w:val="de-CH"/>
        </w:rPr>
        <w:t xml:space="preserve"> </w:t>
      </w:r>
      <w:proofErr w:type="spellStart"/>
      <w:r w:rsidR="007B34E9" w:rsidRPr="007B34E9">
        <w:rPr>
          <w:rFonts w:ascii="VELUX Transform" w:hAnsi="VELUX Transform" w:cs="Arial"/>
          <w:bCs/>
          <w:sz w:val="22"/>
          <w:szCs w:val="22"/>
          <w:lang w:val="de-CH"/>
        </w:rPr>
        <w:t>Aquatic</w:t>
      </w:r>
      <w:proofErr w:type="spellEnd"/>
      <w:r w:rsidR="007B34E9" w:rsidRPr="007B34E9">
        <w:rPr>
          <w:rFonts w:ascii="VELUX Transform" w:hAnsi="VELUX Transform" w:cs="Arial"/>
          <w:bCs/>
          <w:sz w:val="22"/>
          <w:szCs w:val="22"/>
          <w:lang w:val="de-CH"/>
        </w:rPr>
        <w:t xml:space="preserve"> </w:t>
      </w:r>
      <w:proofErr w:type="spellStart"/>
      <w:r w:rsidR="007B34E9" w:rsidRPr="007B34E9">
        <w:rPr>
          <w:rFonts w:ascii="VELUX Transform" w:hAnsi="VELUX Transform" w:cs="Arial"/>
          <w:bCs/>
          <w:sz w:val="22"/>
          <w:szCs w:val="22"/>
          <w:lang w:val="de-CH"/>
        </w:rPr>
        <w:t>Centre</w:t>
      </w:r>
      <w:proofErr w:type="spellEnd"/>
      <w:r w:rsidR="007B34E9" w:rsidRPr="007B34E9">
        <w:rPr>
          <w:rFonts w:ascii="VELUX Transform" w:hAnsi="VELUX Transform" w:cs="Arial"/>
          <w:bCs/>
          <w:sz w:val="22"/>
          <w:szCs w:val="22"/>
          <w:lang w:val="de-CH"/>
        </w:rPr>
        <w:t xml:space="preserve">» im französischen </w:t>
      </w:r>
      <w:proofErr w:type="spellStart"/>
      <w:r w:rsidR="007B34E9">
        <w:rPr>
          <w:rFonts w:ascii="VELUX Transform" w:hAnsi="VELUX Transform" w:cs="Arial"/>
          <w:bCs/>
          <w:sz w:val="22"/>
          <w:szCs w:val="22"/>
          <w:lang w:val="de-CH"/>
        </w:rPr>
        <w:t>Haguenau</w:t>
      </w:r>
      <w:proofErr w:type="spellEnd"/>
      <w:r w:rsidR="007B34E9">
        <w:rPr>
          <w:rFonts w:ascii="VELUX Transform" w:hAnsi="VELUX Transform" w:cs="Arial"/>
          <w:bCs/>
          <w:sz w:val="22"/>
          <w:szCs w:val="22"/>
          <w:lang w:val="de-CH"/>
        </w:rPr>
        <w:t xml:space="preserve"> wurde 1984 erbaut und war der erste Indoor-Wasserpark des Landes. Im Zuge einer umfassenden Sanierung wurde die ikonische Anlage familienfreundlicher gestaltet und um zahlreiche neue Bereiche, wie diverse Kinderbecken und einen einzigartigen Fluss im Aussenbereich, erweitert.</w:t>
      </w:r>
    </w:p>
    <w:p w14:paraId="1D4D01B8" w14:textId="62655C3B" w:rsidR="00AB5A01" w:rsidRDefault="007B34E9"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lastRenderedPageBreak/>
        <w:t>Das optische Highlight im Innenbereich stellt das grossflächige Glasdach dar, das sich über die gesamte Länge des Innenbereichs spannt. Die Stufen-Lösung ermöglicht die Verbindung mehrerer Lichtbandreihen zu einer weitläufigen Konstruktion.</w:t>
      </w:r>
      <w:r w:rsidR="00AF156F">
        <w:rPr>
          <w:rFonts w:ascii="VELUX Transform" w:hAnsi="VELUX Transform" w:cs="Arial"/>
          <w:bCs/>
          <w:sz w:val="22"/>
          <w:szCs w:val="22"/>
          <w:lang w:val="de-CH"/>
        </w:rPr>
        <w:t xml:space="preserve"> Bei der Sanierung wurden drei Stufen-Lösungen mit insgesamt 262 Modulen in verschiedenen Grössen installiert. Die Stufen-Lösung von VELUX Commercial besteht aus mehreren Reihen von Tageslicht-Modulen, die zu einem grossen Glasdach kombiniert werden.</w:t>
      </w:r>
      <w:r>
        <w:rPr>
          <w:rFonts w:ascii="VELUX Transform" w:hAnsi="VELUX Transform" w:cs="Arial"/>
          <w:bCs/>
          <w:sz w:val="22"/>
          <w:szCs w:val="22"/>
          <w:lang w:val="de-CH"/>
        </w:rPr>
        <w:t xml:space="preserve"> Die mit dem </w:t>
      </w:r>
      <w:proofErr w:type="spellStart"/>
      <w:r>
        <w:rPr>
          <w:rFonts w:ascii="VELUX Transform" w:hAnsi="VELUX Transform" w:cs="Arial"/>
          <w:bCs/>
          <w:sz w:val="22"/>
          <w:szCs w:val="22"/>
          <w:lang w:val="de-CH"/>
        </w:rPr>
        <w:t>Red</w:t>
      </w:r>
      <w:proofErr w:type="spellEnd"/>
      <w:r>
        <w:rPr>
          <w:rFonts w:ascii="VELUX Transform" w:hAnsi="VELUX Transform" w:cs="Arial"/>
          <w:bCs/>
          <w:sz w:val="22"/>
          <w:szCs w:val="22"/>
          <w:lang w:val="de-CH"/>
        </w:rPr>
        <w:t xml:space="preserve"> </w:t>
      </w:r>
      <w:proofErr w:type="spellStart"/>
      <w:r>
        <w:rPr>
          <w:rFonts w:ascii="VELUX Transform" w:hAnsi="VELUX Transform" w:cs="Arial"/>
          <w:bCs/>
          <w:sz w:val="22"/>
          <w:szCs w:val="22"/>
          <w:lang w:val="de-CH"/>
        </w:rPr>
        <w:t>Dot</w:t>
      </w:r>
      <w:proofErr w:type="spellEnd"/>
      <w:r>
        <w:rPr>
          <w:rFonts w:ascii="VELUX Transform" w:hAnsi="VELUX Transform" w:cs="Arial"/>
          <w:bCs/>
          <w:sz w:val="22"/>
          <w:szCs w:val="22"/>
          <w:lang w:val="de-CH"/>
        </w:rPr>
        <w:t xml:space="preserve"> Award ausgezeichnete Tageslichtlösung </w:t>
      </w:r>
      <w:r w:rsidR="00AB5A01">
        <w:rPr>
          <w:rFonts w:ascii="VELUX Transform" w:hAnsi="VELUX Transform" w:cs="Arial"/>
          <w:bCs/>
          <w:sz w:val="22"/>
          <w:szCs w:val="22"/>
          <w:lang w:val="de-CH"/>
        </w:rPr>
        <w:t xml:space="preserve">Modular Skylights Stufen-Lösung maximiert den Lichteinfall durch ihr schlankes Design und besonders schmale Träger. Dank der eleganten Stufenoptik können zudem geringe Konstruktionshöhen umgesetzt werden. In Kombination mit den versteckten Kettenantrieben der öffenbaren Elemente wird den Badegästen eine überaus moderne Lösung mit Blick in den Himmel geboten. Das Glasdach schafft eine Verbindung zum Aussenraum und vermittelt beinahe das Gefühl, unter freiem Himmel zu schwimmen. Der ungehinderte Blick ins Blaue sowie die dynamischen Lichtreflexionen im Innenraum sorgen für eine natürliche, angenehme Umgebung. </w:t>
      </w:r>
    </w:p>
    <w:p w14:paraId="0BF1D4CB" w14:textId="5A634C7D" w:rsidR="006F1F57" w:rsidRDefault="001C1D99" w:rsidP="000E432F">
      <w:pPr>
        <w:pStyle w:val="StandardWeb"/>
        <w:spacing w:line="360" w:lineRule="auto"/>
        <w:jc w:val="both"/>
        <w:rPr>
          <w:rFonts w:ascii="VELUX Transform" w:hAnsi="VELUX Transform" w:cs="Arial"/>
          <w:bCs/>
          <w:sz w:val="22"/>
          <w:szCs w:val="22"/>
          <w:lang w:val="de-CH"/>
        </w:rPr>
      </w:pPr>
      <w:r w:rsidRPr="001C4F83">
        <w:rPr>
          <w:rFonts w:ascii="VELUX Transform" w:hAnsi="VELUX Transform" w:cs="Arial"/>
          <w:bCs/>
          <w:sz w:val="22"/>
          <w:szCs w:val="22"/>
          <w:lang w:val="de-CH"/>
        </w:rPr>
        <w:t xml:space="preserve">Bildermaterial zum Objektbericht finden Sie auf </w:t>
      </w:r>
      <w:r w:rsidRPr="00F54A6E">
        <w:rPr>
          <w:rFonts w:ascii="VELUX Transform" w:hAnsi="VELUX Transform" w:cs="Arial"/>
          <w:bCs/>
          <w:sz w:val="22"/>
          <w:szCs w:val="22"/>
          <w:lang w:val="de-CH"/>
        </w:rPr>
        <w:t xml:space="preserve">dem </w:t>
      </w:r>
      <w:hyperlink r:id="rId11" w:history="1">
        <w:r w:rsidRPr="00F54A6E">
          <w:rPr>
            <w:rStyle w:val="Hyperlink"/>
            <w:rFonts w:ascii="VELUX Transform" w:hAnsi="VELUX Transform" w:cs="Arial"/>
            <w:bCs/>
            <w:sz w:val="22"/>
            <w:szCs w:val="22"/>
            <w:lang w:val="de-CH"/>
          </w:rPr>
          <w:t>V</w:t>
        </w:r>
        <w:r w:rsidR="00D91EA2" w:rsidRPr="00F54A6E">
          <w:rPr>
            <w:rStyle w:val="Hyperlink"/>
            <w:rFonts w:ascii="VELUX Transform" w:hAnsi="VELUX Transform" w:cs="Arial"/>
            <w:bCs/>
            <w:sz w:val="22"/>
            <w:szCs w:val="22"/>
            <w:lang w:val="de-CH"/>
          </w:rPr>
          <w:t>ELUX</w:t>
        </w:r>
        <w:r w:rsidR="00840C19" w:rsidRPr="00F54A6E">
          <w:rPr>
            <w:rStyle w:val="Hyperlink"/>
            <w:rFonts w:ascii="VELUX Transform" w:hAnsi="VELUX Transform" w:cs="Arial"/>
            <w:bCs/>
            <w:sz w:val="22"/>
            <w:szCs w:val="22"/>
            <w:lang w:val="de-CH"/>
          </w:rPr>
          <w:t xml:space="preserve"> Commercial</w:t>
        </w:r>
        <w:r w:rsidRPr="00F54A6E">
          <w:rPr>
            <w:rStyle w:val="Hyperlink"/>
            <w:rFonts w:ascii="VELUX Transform" w:hAnsi="VELUX Transform" w:cs="Arial"/>
            <w:bCs/>
            <w:sz w:val="22"/>
            <w:szCs w:val="22"/>
            <w:lang w:val="de-CH"/>
          </w:rPr>
          <w:t xml:space="preserve"> Newsroom.</w:t>
        </w:r>
      </w:hyperlink>
      <w:bookmarkStart w:id="0" w:name="_GoBack"/>
      <w:bookmarkEnd w:id="0"/>
    </w:p>
    <w:p w14:paraId="2736D9DB" w14:textId="7325400B" w:rsidR="00E01513" w:rsidRDefault="00E01513"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Tageslicht- und Lüftungslösungen können neben einem natürlichen und dynamischen Lichteinfall zudem den bedarfsgerechten Luftaustausch unterstützen. Eine regelmässige Luftzirkulation trägt dazu bei, die Luftfeuchtigkeit sowie das Risiko feuchtigkeitsbedingter Probleme wie Schimmel</w:t>
      </w:r>
      <w:r w:rsidR="009542CF">
        <w:rPr>
          <w:rFonts w:ascii="VELUX Transform" w:hAnsi="VELUX Transform" w:cs="Arial"/>
          <w:bCs/>
          <w:sz w:val="22"/>
          <w:szCs w:val="22"/>
          <w:lang w:val="de-CH"/>
        </w:rPr>
        <w:t xml:space="preserve"> zu</w:t>
      </w:r>
      <w:r>
        <w:rPr>
          <w:rFonts w:ascii="VELUX Transform" w:hAnsi="VELUX Transform" w:cs="Arial"/>
          <w:bCs/>
          <w:sz w:val="22"/>
          <w:szCs w:val="22"/>
          <w:lang w:val="de-CH"/>
        </w:rPr>
        <w:t xml:space="preserve"> reduzieren.</w:t>
      </w:r>
    </w:p>
    <w:p w14:paraId="0E523AF5" w14:textId="6E232B81" w:rsidR="00E01513" w:rsidRDefault="00E01513" w:rsidP="000E432F">
      <w:pPr>
        <w:pStyle w:val="StandardWeb"/>
        <w:spacing w:line="360" w:lineRule="auto"/>
        <w:jc w:val="both"/>
        <w:rPr>
          <w:rFonts w:ascii="VELUX Transform" w:hAnsi="VELUX Transform" w:cs="Arial"/>
          <w:b/>
          <w:bCs/>
          <w:sz w:val="22"/>
          <w:szCs w:val="22"/>
          <w:lang w:val="de-CH"/>
        </w:rPr>
      </w:pPr>
      <w:r w:rsidRPr="00E01513">
        <w:rPr>
          <w:rFonts w:ascii="VELUX Transform" w:hAnsi="VELUX Transform" w:cs="Arial"/>
          <w:b/>
          <w:bCs/>
          <w:sz w:val="22"/>
          <w:szCs w:val="22"/>
          <w:lang w:val="de-CH"/>
        </w:rPr>
        <w:t>Langlebige Materialien für Schwimmhallen</w:t>
      </w:r>
    </w:p>
    <w:p w14:paraId="24BBE084" w14:textId="06B472C1" w:rsidR="007B34E9" w:rsidRPr="007B34E9" w:rsidRDefault="00E01513" w:rsidP="000E432F">
      <w:pPr>
        <w:pStyle w:val="StandardWeb"/>
        <w:spacing w:line="360" w:lineRule="auto"/>
        <w:jc w:val="both"/>
        <w:rPr>
          <w:rFonts w:ascii="VELUX Transform" w:hAnsi="VELUX Transform" w:cs="Arial"/>
          <w:bCs/>
          <w:sz w:val="22"/>
          <w:szCs w:val="22"/>
          <w:lang w:val="de-CH"/>
        </w:rPr>
      </w:pPr>
      <w:r>
        <w:rPr>
          <w:rFonts w:ascii="VELUX Transform" w:hAnsi="VELUX Transform" w:cs="Arial"/>
          <w:bCs/>
          <w:sz w:val="22"/>
          <w:szCs w:val="22"/>
          <w:lang w:val="de-CH"/>
        </w:rPr>
        <w:t>Da in Räumlichkeiten mit hoher Luftfeuchtigkeit und Chlorgehalt jedoch die Gefahr der Korrosion an Metallkomponenten besteht, musste bei der Wahl des richtigen Tageslichtsystems auf eine spezielle Lösung zurückgegriffen werden. Das Verbundmaterial der Modular Skylights Profile besteht zu 80</w:t>
      </w:r>
      <w:r w:rsidR="009542CF">
        <w:rPr>
          <w:rFonts w:ascii="VELUX Transform" w:hAnsi="VELUX Transform" w:cs="Arial"/>
          <w:bCs/>
          <w:sz w:val="22"/>
          <w:szCs w:val="22"/>
          <w:lang w:val="de-CH"/>
        </w:rPr>
        <w:t xml:space="preserve"> </w:t>
      </w:r>
      <w:r>
        <w:rPr>
          <w:rFonts w:ascii="VELUX Transform" w:hAnsi="VELUX Transform" w:cs="Arial"/>
          <w:bCs/>
          <w:sz w:val="22"/>
          <w:szCs w:val="22"/>
          <w:lang w:val="de-CH"/>
        </w:rPr>
        <w:t>% aus Glasfaser und 20</w:t>
      </w:r>
      <w:r w:rsidR="0027492E">
        <w:rPr>
          <w:rFonts w:ascii="VELUX Transform" w:hAnsi="VELUX Transform" w:cs="Arial"/>
          <w:bCs/>
          <w:sz w:val="22"/>
          <w:szCs w:val="22"/>
          <w:lang w:val="de-CH"/>
        </w:rPr>
        <w:t xml:space="preserve"> </w:t>
      </w:r>
      <w:r>
        <w:rPr>
          <w:rFonts w:ascii="VELUX Transform" w:hAnsi="VELUX Transform" w:cs="Arial"/>
          <w:bCs/>
          <w:sz w:val="22"/>
          <w:szCs w:val="22"/>
          <w:lang w:val="de-CH"/>
        </w:rPr>
        <w:t xml:space="preserve">% Polyurethan, wodurch es korrosionsbeständig ist und keine zusätzliche Schicht benötigt. Aus diesem Grund stehen für VELUX Commercial Modular Skylights Verglasungssysteme spezielle Dampfsperre-Anschlussstreifen, ein dazugehöriges Dampfsperre-Klebeband sowie eine spezielle First-Eindeckung für selbsttragende Sattel-Lichtbänder zur Verfügung. Dreifach-Verglasungen können zusätzlich die </w:t>
      </w:r>
      <w:r w:rsidR="00AF156F">
        <w:rPr>
          <w:rFonts w:ascii="VELUX Transform" w:hAnsi="VELUX Transform" w:cs="Arial"/>
          <w:bCs/>
          <w:sz w:val="22"/>
          <w:szCs w:val="22"/>
          <w:lang w:val="de-CH"/>
        </w:rPr>
        <w:t>Kondensatbildung</w:t>
      </w:r>
      <w:r>
        <w:rPr>
          <w:rFonts w:ascii="VELUX Transform" w:hAnsi="VELUX Transform" w:cs="Arial"/>
          <w:bCs/>
          <w:sz w:val="22"/>
          <w:szCs w:val="22"/>
          <w:lang w:val="de-CH"/>
        </w:rPr>
        <w:t xml:space="preserve"> verringern.</w:t>
      </w:r>
      <w:r w:rsidR="00AF156F">
        <w:rPr>
          <w:rFonts w:ascii="VELUX Transform" w:hAnsi="VELUX Transform" w:cs="Arial"/>
          <w:bCs/>
          <w:sz w:val="22"/>
          <w:szCs w:val="22"/>
          <w:lang w:val="de-CH"/>
        </w:rPr>
        <w:t xml:space="preserve"> Der speziell entwickelte Dampfsperre-Anschlussstreifen besteht aus einer mehrschichtigen Aluminium-Folie mit einer hohen Resistenz gegen Wasserdampf. Er ist nach EN 13984 CE gekennzeichnet und führt zu der nötigen passgenauen Verbindung des Systems mit der Dampfbremse des </w:t>
      </w:r>
      <w:r w:rsidR="00AF156F">
        <w:rPr>
          <w:rFonts w:ascii="VELUX Transform" w:hAnsi="VELUX Transform" w:cs="Arial"/>
          <w:bCs/>
          <w:sz w:val="22"/>
          <w:szCs w:val="22"/>
          <w:lang w:val="de-CH"/>
        </w:rPr>
        <w:lastRenderedPageBreak/>
        <w:t xml:space="preserve">Gebäudes. Die vorgefertigte Gummidichtung an der Seite des Anschlussstreifens sorgt für eine besonders dampfdichte Installation. </w:t>
      </w:r>
      <w:r>
        <w:rPr>
          <w:rFonts w:ascii="VELUX Transform" w:hAnsi="VELUX Transform" w:cs="Arial"/>
          <w:bCs/>
          <w:sz w:val="22"/>
          <w:szCs w:val="22"/>
          <w:lang w:val="de-CH"/>
        </w:rPr>
        <w:t xml:space="preserve"> </w:t>
      </w:r>
    </w:p>
    <w:p w14:paraId="2BCA31BC" w14:textId="04F86BCA" w:rsidR="006F1F57" w:rsidRDefault="007B34E9" w:rsidP="000E432F">
      <w:pPr>
        <w:pStyle w:val="StandardWeb"/>
        <w:spacing w:line="360" w:lineRule="auto"/>
        <w:jc w:val="both"/>
        <w:rPr>
          <w:rFonts w:ascii="VELUX Transform" w:hAnsi="VELUX Transform" w:cs="Arial"/>
          <w:bCs/>
          <w:sz w:val="22"/>
          <w:szCs w:val="22"/>
          <w:lang w:val="de-CH"/>
        </w:rPr>
      </w:pPr>
      <w:r w:rsidRPr="0087500D">
        <w:rPr>
          <w:rFonts w:ascii="VELUX Transform" w:hAnsi="VELUX Transform" w:cs="Arial"/>
          <w:bCs/>
          <w:sz w:val="22"/>
          <w:szCs w:val="22"/>
          <w:lang w:val="de-CH"/>
        </w:rPr>
        <w:t>Dass sich VELUX Commercial Oberlichter für Schwimmbäder eignen</w:t>
      </w:r>
      <w:r w:rsidR="0027492E" w:rsidRPr="0087500D">
        <w:rPr>
          <w:rFonts w:ascii="VELUX Transform" w:hAnsi="VELUX Transform" w:cs="Arial"/>
          <w:bCs/>
          <w:sz w:val="22"/>
          <w:szCs w:val="22"/>
          <w:lang w:val="de-CH"/>
        </w:rPr>
        <w:t>,</w:t>
      </w:r>
      <w:r w:rsidRPr="0087500D">
        <w:rPr>
          <w:rFonts w:ascii="VELUX Transform" w:hAnsi="VELUX Transform" w:cs="Arial"/>
          <w:bCs/>
          <w:sz w:val="22"/>
          <w:szCs w:val="22"/>
          <w:lang w:val="de-CH"/>
        </w:rPr>
        <w:t xml:space="preserve"> zeigt auch der Sport- und Freizeitkomplex in Romont.</w:t>
      </w:r>
      <w:r w:rsidR="00AF156F" w:rsidRPr="0087500D">
        <w:rPr>
          <w:rFonts w:ascii="VELUX Transform" w:hAnsi="VELUX Transform" w:cs="Arial"/>
          <w:bCs/>
          <w:sz w:val="22"/>
          <w:szCs w:val="22"/>
          <w:lang w:val="de-CH"/>
        </w:rPr>
        <w:t xml:space="preserve"> </w:t>
      </w:r>
      <w:r w:rsidR="005B078C" w:rsidRPr="0087500D">
        <w:rPr>
          <w:rFonts w:ascii="VELUX Transform" w:hAnsi="VELUX Transform" w:cs="Arial"/>
          <w:bCs/>
          <w:sz w:val="22"/>
          <w:szCs w:val="22"/>
          <w:lang w:val="de-CH"/>
        </w:rPr>
        <w:t xml:space="preserve"> Verantwortlich für den Bau sind die drei jungen </w:t>
      </w:r>
      <w:proofErr w:type="spellStart"/>
      <w:proofErr w:type="gramStart"/>
      <w:r w:rsidR="005B078C" w:rsidRPr="0087500D">
        <w:rPr>
          <w:rFonts w:ascii="VELUX Transform" w:hAnsi="VELUX Transform" w:cs="Arial"/>
          <w:bCs/>
          <w:sz w:val="22"/>
          <w:szCs w:val="22"/>
          <w:lang w:val="de-CH"/>
        </w:rPr>
        <w:t>Architekt:innen</w:t>
      </w:r>
      <w:proofErr w:type="spellEnd"/>
      <w:proofErr w:type="gramEnd"/>
      <w:r w:rsidR="005B078C" w:rsidRPr="0087500D">
        <w:rPr>
          <w:rFonts w:ascii="VELUX Transform" w:hAnsi="VELUX Transform" w:cs="Arial"/>
          <w:bCs/>
          <w:sz w:val="22"/>
          <w:szCs w:val="22"/>
          <w:lang w:val="de-CH"/>
        </w:rPr>
        <w:t xml:space="preserve"> Cristina Gonzalo, Marco Neri und Markus Weck (GNWA). </w:t>
      </w:r>
      <w:r w:rsidR="00AF156F" w:rsidRPr="0087500D">
        <w:rPr>
          <w:rFonts w:ascii="VELUX Transform" w:hAnsi="VELUX Transform" w:cs="Arial"/>
          <w:bCs/>
          <w:sz w:val="22"/>
          <w:szCs w:val="22"/>
          <w:lang w:val="de-CH"/>
        </w:rPr>
        <w:t xml:space="preserve">Bei der Sanierung 2019 wurden insgesamt 282 Module in verschiedenen Grössen eingesetzt und sorgen nun in Verbindung mit einer eindrücklichen Holzkonstruktion sowie Sichtbeton für eine moderne, lichtdurchflutete Atmosphäre. </w:t>
      </w:r>
      <w:r w:rsidR="00F67E33" w:rsidRPr="0087500D">
        <w:rPr>
          <w:rFonts w:ascii="VELUX Transform" w:hAnsi="VELUX Transform" w:cs="Arial"/>
          <w:bCs/>
          <w:sz w:val="22"/>
          <w:szCs w:val="22"/>
          <w:lang w:val="de-CH"/>
        </w:rPr>
        <w:t xml:space="preserve"> Die grosszügigen Lichtbänder, die sowohl die Schwimmbäder als auch den Eingangsbereich </w:t>
      </w:r>
      <w:r w:rsidR="005C5DBE" w:rsidRPr="0087500D">
        <w:rPr>
          <w:rFonts w:ascii="VELUX Transform" w:hAnsi="VELUX Transform" w:cs="Arial"/>
          <w:bCs/>
          <w:sz w:val="22"/>
          <w:szCs w:val="22"/>
          <w:lang w:val="de-CH"/>
        </w:rPr>
        <w:t>überspannen</w:t>
      </w:r>
      <w:r w:rsidR="00F67E33" w:rsidRPr="0087500D">
        <w:rPr>
          <w:rFonts w:ascii="VELUX Transform" w:hAnsi="VELUX Transform" w:cs="Arial"/>
          <w:bCs/>
          <w:sz w:val="22"/>
          <w:szCs w:val="22"/>
          <w:lang w:val="de-CH"/>
        </w:rPr>
        <w:t xml:space="preserve">, dienen nicht nur der optimalen Nutzung des Tageslichts, sondern sind auch ein </w:t>
      </w:r>
      <w:r w:rsidR="005B078C" w:rsidRPr="0087500D">
        <w:rPr>
          <w:rFonts w:ascii="VELUX Transform" w:hAnsi="VELUX Transform" w:cs="Arial"/>
          <w:bCs/>
          <w:sz w:val="22"/>
          <w:szCs w:val="22"/>
          <w:lang w:val="de-CH"/>
        </w:rPr>
        <w:t xml:space="preserve">architektonisches Gestaltungselement, das die moderne Optik des gesamten </w:t>
      </w:r>
      <w:r w:rsidR="005C5DBE" w:rsidRPr="0087500D">
        <w:rPr>
          <w:rFonts w:ascii="VELUX Transform" w:hAnsi="VELUX Transform" w:cs="Arial"/>
          <w:bCs/>
          <w:sz w:val="22"/>
          <w:szCs w:val="22"/>
          <w:lang w:val="de-CH"/>
        </w:rPr>
        <w:t>Schul- und Sportk</w:t>
      </w:r>
      <w:r w:rsidR="005B078C" w:rsidRPr="0087500D">
        <w:rPr>
          <w:rFonts w:ascii="VELUX Transform" w:hAnsi="VELUX Transform" w:cs="Arial"/>
          <w:bCs/>
          <w:sz w:val="22"/>
          <w:szCs w:val="22"/>
          <w:lang w:val="de-CH"/>
        </w:rPr>
        <w:t>omplexes in Romont unterstreicht. Die Holzkonstruktion</w:t>
      </w:r>
      <w:r w:rsidR="0087500D" w:rsidRPr="0087500D">
        <w:rPr>
          <w:rFonts w:ascii="VELUX Transform" w:hAnsi="VELUX Transform" w:cs="Arial"/>
          <w:bCs/>
          <w:sz w:val="22"/>
          <w:szCs w:val="22"/>
          <w:lang w:val="de-CH"/>
        </w:rPr>
        <w:t xml:space="preserve"> </w:t>
      </w:r>
      <w:r w:rsidR="005C5DBE" w:rsidRPr="0087500D">
        <w:rPr>
          <w:rFonts w:ascii="VELUX Transform" w:hAnsi="VELUX Transform" w:cs="Arial"/>
          <w:bCs/>
          <w:sz w:val="22"/>
          <w:szCs w:val="22"/>
          <w:lang w:val="de-CH"/>
        </w:rPr>
        <w:t xml:space="preserve">über den Schwimmbecken und dem Foyer, die </w:t>
      </w:r>
      <w:r w:rsidR="0087500D" w:rsidRPr="0087500D">
        <w:rPr>
          <w:rFonts w:ascii="VELUX Transform" w:hAnsi="VELUX Transform" w:cs="Arial"/>
          <w:bCs/>
          <w:sz w:val="22"/>
          <w:szCs w:val="22"/>
          <w:lang w:val="de-CH"/>
        </w:rPr>
        <w:t>in Form von paarweise</w:t>
      </w:r>
      <w:r w:rsidR="005C5DBE" w:rsidRPr="0087500D">
        <w:rPr>
          <w:rFonts w:ascii="VELUX Transform" w:hAnsi="VELUX Transform" w:cs="Arial"/>
          <w:bCs/>
          <w:sz w:val="22"/>
          <w:szCs w:val="22"/>
          <w:lang w:val="de-CH"/>
        </w:rPr>
        <w:t xml:space="preserve"> geneigte</w:t>
      </w:r>
      <w:r w:rsidR="0087500D" w:rsidRPr="0087500D">
        <w:rPr>
          <w:rFonts w:ascii="VELUX Transform" w:hAnsi="VELUX Transform" w:cs="Arial"/>
          <w:bCs/>
          <w:sz w:val="22"/>
          <w:szCs w:val="22"/>
          <w:lang w:val="de-CH"/>
        </w:rPr>
        <w:t>n</w:t>
      </w:r>
      <w:r w:rsidR="005C5DBE" w:rsidRPr="0087500D">
        <w:rPr>
          <w:rFonts w:ascii="VELUX Transform" w:hAnsi="VELUX Transform" w:cs="Arial"/>
          <w:bCs/>
          <w:sz w:val="22"/>
          <w:szCs w:val="22"/>
          <w:lang w:val="de-CH"/>
        </w:rPr>
        <w:t xml:space="preserve"> Fachwerkbinder</w:t>
      </w:r>
      <w:r w:rsidR="0087500D" w:rsidRPr="0087500D">
        <w:rPr>
          <w:rFonts w:ascii="VELUX Transform" w:hAnsi="VELUX Transform" w:cs="Arial"/>
          <w:bCs/>
          <w:sz w:val="22"/>
          <w:szCs w:val="22"/>
          <w:lang w:val="de-CH"/>
        </w:rPr>
        <w:t>n</w:t>
      </w:r>
      <w:r w:rsidR="005C5DBE" w:rsidRPr="0087500D">
        <w:rPr>
          <w:rFonts w:ascii="VELUX Transform" w:hAnsi="VELUX Transform" w:cs="Arial"/>
          <w:bCs/>
          <w:sz w:val="22"/>
          <w:szCs w:val="22"/>
          <w:lang w:val="de-CH"/>
        </w:rPr>
        <w:t xml:space="preserve"> ausgeführt wurde, </w:t>
      </w:r>
      <w:r w:rsidR="00AC2F9B" w:rsidRPr="0087500D">
        <w:rPr>
          <w:rFonts w:ascii="VELUX Transform" w:hAnsi="VELUX Transform" w:cs="Arial"/>
          <w:bCs/>
          <w:sz w:val="22"/>
          <w:szCs w:val="22"/>
          <w:lang w:val="de-CH"/>
        </w:rPr>
        <w:t>dient nicht nur der Lichtlenkung und Akustik, sondern verdeckt auch die gedämmten Aufkantungen der Lichtbänder.</w:t>
      </w:r>
      <w:r w:rsidR="005B078C">
        <w:rPr>
          <w:rFonts w:ascii="VELUX Transform" w:hAnsi="VELUX Transform" w:cs="Arial"/>
          <w:bCs/>
          <w:sz w:val="22"/>
          <w:szCs w:val="22"/>
          <w:lang w:val="de-CH"/>
        </w:rPr>
        <w:t xml:space="preserve"> </w:t>
      </w:r>
    </w:p>
    <w:p w14:paraId="377C483C" w14:textId="7BD77D48" w:rsidR="001C28AC" w:rsidRDefault="001C28AC" w:rsidP="00332392">
      <w:pPr>
        <w:spacing w:line="360" w:lineRule="auto"/>
        <w:jc w:val="both"/>
        <w:rPr>
          <w:rFonts w:ascii="VELUX Transform" w:hAnsi="VELUX Transform" w:cs="Arial"/>
          <w:bCs/>
          <w:lang w:val="de-CH"/>
        </w:rPr>
      </w:pPr>
      <w:r>
        <w:rPr>
          <w:rFonts w:ascii="VELUX Transform" w:hAnsi="VELUX Transform" w:cs="Arial"/>
          <w:bCs/>
          <w:lang w:val="de-CH"/>
        </w:rPr>
        <w:t xml:space="preserve">Bildmaterial zum Objektbericht finden Sie auf </w:t>
      </w:r>
      <w:r w:rsidRPr="003D6427">
        <w:rPr>
          <w:rFonts w:ascii="VELUX Transform" w:hAnsi="VELUX Transform" w:cs="Arial"/>
          <w:bCs/>
          <w:lang w:val="de-CH"/>
        </w:rPr>
        <w:t>dem</w:t>
      </w:r>
      <w:hyperlink r:id="rId12" w:history="1"/>
      <w:r w:rsidR="001C1D99">
        <w:rPr>
          <w:rFonts w:ascii="VELUX Transform" w:hAnsi="VELUX Transform" w:cs="Arial"/>
          <w:bCs/>
          <w:lang w:val="de-CH"/>
        </w:rPr>
        <w:t xml:space="preserve"> </w:t>
      </w:r>
      <w:hyperlink r:id="rId13" w:history="1">
        <w:r w:rsidR="001C1D99" w:rsidRPr="001C1D99">
          <w:rPr>
            <w:rStyle w:val="Hyperlink"/>
            <w:rFonts w:ascii="VELUX Transform" w:hAnsi="VELUX Transform" w:cs="Arial"/>
            <w:bCs/>
            <w:lang w:val="de-CH"/>
          </w:rPr>
          <w:t>V</w:t>
        </w:r>
        <w:r w:rsidR="00D91EA2">
          <w:rPr>
            <w:rStyle w:val="Hyperlink"/>
            <w:rFonts w:ascii="VELUX Transform" w:hAnsi="VELUX Transform" w:cs="Arial"/>
            <w:bCs/>
            <w:lang w:val="de-CH"/>
          </w:rPr>
          <w:t>ELUX</w:t>
        </w:r>
        <w:r w:rsidR="001C1D99" w:rsidRPr="001C1D99">
          <w:rPr>
            <w:rStyle w:val="Hyperlink"/>
            <w:rFonts w:ascii="VELUX Transform" w:hAnsi="VELUX Transform" w:cs="Arial"/>
            <w:bCs/>
            <w:lang w:val="de-CH"/>
          </w:rPr>
          <w:t xml:space="preserve"> Commercial Newsroom</w:t>
        </w:r>
      </w:hyperlink>
      <w:r w:rsidR="001C1D99">
        <w:rPr>
          <w:rFonts w:ascii="VELUX Transform" w:hAnsi="VELUX Transform" w:cs="Arial"/>
          <w:bCs/>
          <w:lang w:val="de-CH"/>
        </w:rPr>
        <w:t>.</w:t>
      </w:r>
    </w:p>
    <w:p w14:paraId="48974EC7" w14:textId="77777777" w:rsidR="00983F0C" w:rsidRDefault="00983F0C" w:rsidP="005511CB">
      <w:pPr>
        <w:pBdr>
          <w:bottom w:val="single" w:sz="4" w:space="1" w:color="auto"/>
        </w:pBdr>
        <w:rPr>
          <w:rFonts w:ascii="VELUX Transform" w:eastAsia="Times New Roman" w:hAnsi="VELUX Transform" w:cs="Arial"/>
          <w:lang w:val="de-CH" w:eastAsia="da-DK"/>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proofErr w:type="gramStart"/>
            <w:r w:rsidRPr="00FB29CD">
              <w:rPr>
                <w:rFonts w:ascii="VELUX Transform" w:eastAsia="Times New Roman" w:hAnsi="VELUX Transform" w:cs="Times New Roman"/>
                <w:bCs/>
                <w:lang w:val="fr-CH" w:eastAsia="de-DE"/>
              </w:rPr>
              <w:t>Mail:</w:t>
            </w:r>
            <w:proofErr w:type="gramEnd"/>
            <w:r w:rsidRPr="00FB29CD">
              <w:rPr>
                <w:rFonts w:ascii="VELUX Transform" w:eastAsia="Times New Roman" w:hAnsi="VELUX Transform" w:cs="Times New Roman"/>
                <w:bCs/>
                <w:lang w:val="fr-CH" w:eastAsia="de-DE"/>
              </w:rPr>
              <w:t xml:space="preserve"> </w:t>
            </w:r>
            <w:hyperlink r:id="rId14"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Default="005511CB">
            <w:pPr>
              <w:spacing w:after="0" w:line="240" w:lineRule="auto"/>
              <w:jc w:val="both"/>
              <w:rPr>
                <w:rFonts w:ascii="VELUX Transform" w:eastAsia="Times New Roman" w:hAnsi="VELUX Transform" w:cs="Times New Roman"/>
                <w:bCs/>
                <w:lang w:val="de-CH" w:eastAsia="de-DE"/>
              </w:rPr>
            </w:pPr>
            <w:proofErr w:type="spellStart"/>
            <w:r>
              <w:rPr>
                <w:rFonts w:ascii="VELUX Transform" w:eastAsia="Times New Roman" w:hAnsi="VELUX Transform" w:cs="Times New Roman"/>
                <w:bCs/>
                <w:lang w:val="de-CH" w:eastAsia="de-DE"/>
              </w:rPr>
              <w:t>PRfact</w:t>
            </w:r>
            <w:proofErr w:type="spellEnd"/>
            <w:r>
              <w:rPr>
                <w:rFonts w:ascii="VELUX Transform" w:eastAsia="Times New Roman" w:hAnsi="VELUX Transform" w:cs="Times New Roman"/>
                <w:bCs/>
                <w:lang w:val="de-CH" w:eastAsia="de-DE"/>
              </w:rPr>
              <w:t xml:space="preserve"> AG</w:t>
            </w:r>
          </w:p>
          <w:p w14:paraId="466A70B7" w14:textId="5C3412FC"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lang w:val="de-CH" w:eastAsia="de-DE"/>
              </w:rPr>
              <w:t xml:space="preserve">Medienkontakt </w:t>
            </w:r>
            <w:r w:rsidR="006B2E15">
              <w:rPr>
                <w:rFonts w:ascii="VELUX Transform" w:eastAsia="Times New Roman" w:hAnsi="VELUX Transform" w:cs="Times New Roman"/>
                <w:lang w:val="de-CH" w:eastAsia="de-DE"/>
              </w:rPr>
              <w:t>VELUX</w:t>
            </w:r>
          </w:p>
          <w:p w14:paraId="7C72F3EB"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5"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649CC5BE" w14:textId="77777777" w:rsidR="00761827" w:rsidRDefault="00761827" w:rsidP="00761827">
      <w:pPr>
        <w:spacing w:after="120" w:line="240" w:lineRule="auto"/>
        <w:rPr>
          <w:rFonts w:ascii="VELUX Transform Headline" w:hAnsi="VELUX Transform Headline" w:cs="Arial"/>
          <w:b/>
          <w:bCs/>
          <w:sz w:val="20"/>
          <w:szCs w:val="20"/>
          <w:lang w:val="de-DE"/>
        </w:rPr>
      </w:pPr>
      <w:r>
        <w:rPr>
          <w:rFonts w:ascii="VELUX Transform Headline" w:hAnsi="VELUX Transform Headline" w:cs="Arial"/>
          <w:b/>
          <w:bCs/>
          <w:sz w:val="20"/>
          <w:szCs w:val="20"/>
          <w:lang w:val="de-DE"/>
        </w:rPr>
        <w:t>Über VELUX Commercial</w:t>
      </w:r>
    </w:p>
    <w:p w14:paraId="6D5AEEA6" w14:textId="77777777" w:rsidR="00761827" w:rsidRDefault="00761827" w:rsidP="00761827">
      <w:pPr>
        <w:spacing w:after="120" w:line="240" w:lineRule="auto"/>
        <w:rPr>
          <w:rFonts w:ascii="VELUX Transform Headline" w:hAnsi="VELUX Transform Headline" w:cs="Arial"/>
          <w:sz w:val="20"/>
          <w:szCs w:val="20"/>
          <w:lang w:val="de-DE"/>
        </w:rPr>
      </w:pPr>
      <w:bookmarkStart w:id="1" w:name="_Hlk151370440"/>
      <w:r>
        <w:rPr>
          <w:rFonts w:ascii="VELUX Transform Headline" w:hAnsi="VELUX Transform Headline" w:cs="Arial"/>
          <w:sz w:val="20"/>
          <w:szCs w:val="20"/>
          <w:lang w:val="de-DE"/>
        </w:rPr>
        <w:t xml:space="preserve">VELUX Commercial bietet Baufachleuten Unterstützung bei der Realisierung von Tageslicht- und Lüftungslösungen:  von der Planung über die Lieferung bis hin zur Wartung. Das Produktprogramm reicht von hochwertigen, </w:t>
      </w:r>
      <w:proofErr w:type="spellStart"/>
      <w:r>
        <w:rPr>
          <w:rFonts w:ascii="VELUX Transform Headline" w:hAnsi="VELUX Transform Headline" w:cs="Arial"/>
          <w:sz w:val="20"/>
          <w:szCs w:val="20"/>
          <w:lang w:val="de-DE"/>
        </w:rPr>
        <w:t>massgefertigten</w:t>
      </w:r>
      <w:proofErr w:type="spellEnd"/>
      <w:r>
        <w:rPr>
          <w:rFonts w:ascii="VELUX Transform Headline" w:hAnsi="VELUX Transform Headline" w:cs="Arial"/>
          <w:sz w:val="20"/>
          <w:szCs w:val="20"/>
          <w:lang w:val="de-DE"/>
        </w:rPr>
        <w:t xml:space="preserve"> Verglasungslösungen für prestigeträchtige architektonische Gebäude bis hin zu Kuppeln und Lichtbändern für industrielle Gebäude wie Lagerhallen und Produktionsstätten. Mit dem breit gefächerten Produktprogramm und der Expertise in den Bereichen Tageslicht, Komfortlüftung und Rauchabzug sowie der Übernahme von Service- und Wartungsleistungen bietet das Unternehmen seinen Kunden Unterstützung während des gesamten Bauprozesses.</w:t>
      </w:r>
    </w:p>
    <w:p w14:paraId="54825455"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1.100 Menschen arbeiten in 15 Ländern in den Bereichen Beschaffung, Herstellung, Vertrieb und globaler Support. VELUX Commercial ist ein Geschäftsbereich der VELUX Gruppe, der 2019 gegründet wurde und die früheren Organisationen JET, </w:t>
      </w:r>
      <w:proofErr w:type="spellStart"/>
      <w:r>
        <w:rPr>
          <w:rFonts w:ascii="VELUX Transform Headline" w:hAnsi="VELUX Transform Headline" w:cs="Arial"/>
          <w:sz w:val="20"/>
          <w:szCs w:val="20"/>
          <w:lang w:val="de-DE"/>
        </w:rPr>
        <w:t>Vitral</w:t>
      </w:r>
      <w:proofErr w:type="spellEnd"/>
      <w:r>
        <w:rPr>
          <w:rFonts w:ascii="VELUX Transform Headline" w:hAnsi="VELUX Transform Headline" w:cs="Arial"/>
          <w:sz w:val="20"/>
          <w:szCs w:val="20"/>
          <w:lang w:val="de-DE"/>
        </w:rPr>
        <w:t xml:space="preserve"> und VELUX Modular Skylights umfasst.</w:t>
      </w:r>
    </w:p>
    <w:p w14:paraId="26EA2ECD"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lastRenderedPageBreak/>
        <w:t xml:space="preserve">Mehr Informationen über VELUX Commercial unter: </w:t>
      </w:r>
      <w:hyperlink r:id="rId16" w:history="1">
        <w:r>
          <w:rPr>
            <w:rStyle w:val="Hyperlink"/>
            <w:rFonts w:ascii="VELUX Transform Headline" w:hAnsi="VELUX Transform Headline" w:cs="Arial"/>
            <w:sz w:val="20"/>
            <w:szCs w:val="20"/>
            <w:lang w:val="de-DE"/>
          </w:rPr>
          <w:t>www.veluxcommercial.ch</w:t>
        </w:r>
      </w:hyperlink>
      <w:r>
        <w:rPr>
          <w:rFonts w:ascii="VELUX Transform Headline" w:hAnsi="VELUX Transform Headline" w:cs="Arial"/>
          <w:sz w:val="20"/>
          <w:szCs w:val="20"/>
          <w:lang w:val="de-DE"/>
        </w:rPr>
        <w:t xml:space="preserve"> </w:t>
      </w:r>
    </w:p>
    <w:bookmarkEnd w:id="1"/>
    <w:p w14:paraId="011233DC" w14:textId="77777777" w:rsidR="00761827" w:rsidRDefault="00761827" w:rsidP="00761827">
      <w:pPr>
        <w:spacing w:after="120" w:line="240" w:lineRule="auto"/>
        <w:rPr>
          <w:rFonts w:ascii="VELUX Transform Headline" w:hAnsi="VELUX Transform Headline" w:cs="Arial"/>
          <w:b/>
          <w:bCs/>
          <w:lang w:val="de-DE"/>
        </w:rPr>
      </w:pPr>
    </w:p>
    <w:p w14:paraId="325C3A0B" w14:textId="77777777" w:rsidR="00761827" w:rsidRDefault="00761827" w:rsidP="00761827">
      <w:pPr>
        <w:spacing w:after="0" w:line="240" w:lineRule="auto"/>
        <w:rPr>
          <w:rFonts w:ascii="VELUX Transform Headline" w:hAnsi="VELUX Transform Headline" w:cs="Arial"/>
          <w:b/>
          <w:sz w:val="20"/>
          <w:szCs w:val="20"/>
          <w:lang w:val="de-DE"/>
        </w:rPr>
      </w:pPr>
      <w:bookmarkStart w:id="2" w:name="_Hlk151370319"/>
      <w:r>
        <w:rPr>
          <w:rFonts w:ascii="VELUX Transform Headline" w:hAnsi="VELUX Transform Headline" w:cs="Arial"/>
          <w:b/>
          <w:bCs/>
          <w:sz w:val="20"/>
          <w:szCs w:val="20"/>
          <w:lang w:val="de-DE"/>
        </w:rPr>
        <w:t>Über die VELUX Gruppe</w:t>
      </w:r>
    </w:p>
    <w:bookmarkEnd w:id="2"/>
    <w:p w14:paraId="172B778A" w14:textId="77777777" w:rsidR="00761827" w:rsidRDefault="00761827" w:rsidP="00761827">
      <w:pPr>
        <w:spacing w:after="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Unternehmensgründers. 2022 erwirtschaftete die VELUX Gruppe einen Gesamtumsatz von 2,99 Mrd. EUR, die VKR Holding erzielte einen Gesamtumsatz von 4,29 Mrd. EUR und die VELUX STIFTUNGEN spendeten 181 Mio. EUR für wohltätige Zwecke. </w:t>
      </w:r>
    </w:p>
    <w:p w14:paraId="7995A94E"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Weitere Informationen finden Sie im Internet unter </w:t>
      </w:r>
      <w:hyperlink r:id="rId17" w:history="1">
        <w:r>
          <w:rPr>
            <w:rStyle w:val="Hyperlink"/>
            <w:rFonts w:ascii="VELUX Transform Headline" w:hAnsi="VELUX Transform Headline" w:cs="Arial"/>
            <w:sz w:val="20"/>
            <w:szCs w:val="20"/>
            <w:lang w:val="de-DE"/>
          </w:rPr>
          <w:t>www.velux.com</w:t>
        </w:r>
      </w:hyperlink>
      <w:r>
        <w:rPr>
          <w:rFonts w:ascii="VELUX Transform Headline" w:hAnsi="VELUX Transform Headline" w:cs="Arial"/>
          <w:sz w:val="20"/>
          <w:szCs w:val="20"/>
          <w:lang w:val="de-DE"/>
        </w:rPr>
        <w:t xml:space="preserve">. </w:t>
      </w:r>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8"/>
      <w:footerReference w:type="default" r:id="rId19"/>
      <w:pgSz w:w="11906" w:h="16838"/>
      <w:pgMar w:top="2694"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0B3FD8A" w16cex:dateUtc="2024-08-12T12:42:00Z"/>
  <w16cex:commentExtensible w16cex:durableId="1A880A45" w16cex:dateUtc="2024-08-12T12: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24DEC" w14:textId="77777777" w:rsidR="003A4498" w:rsidRDefault="003A4498" w:rsidP="00E33AD0">
      <w:pPr>
        <w:spacing w:after="0" w:line="240" w:lineRule="auto"/>
      </w:pPr>
      <w:r>
        <w:separator/>
      </w:r>
    </w:p>
  </w:endnote>
  <w:endnote w:type="continuationSeparator" w:id="0">
    <w:p w14:paraId="51A96D57" w14:textId="77777777" w:rsidR="003A4498" w:rsidRDefault="003A4498"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6DF03" w14:textId="77777777" w:rsidR="003A4498" w:rsidRDefault="003A4498" w:rsidP="00E33AD0">
      <w:pPr>
        <w:spacing w:after="0" w:line="240" w:lineRule="auto"/>
      </w:pPr>
      <w:r>
        <w:separator/>
      </w:r>
    </w:p>
  </w:footnote>
  <w:footnote w:type="continuationSeparator" w:id="0">
    <w:p w14:paraId="7DD0B904" w14:textId="77777777" w:rsidR="003A4498" w:rsidRDefault="003A4498"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157D2" w14:textId="3598BBA8"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560E8434">
          <wp:simplePos x="0" y="0"/>
          <wp:positionH relativeFrom="column">
            <wp:posOffset>3470910</wp:posOffset>
          </wp:positionH>
          <wp:positionV relativeFrom="paragraph">
            <wp:posOffset>-20320</wp:posOffset>
          </wp:positionV>
          <wp:extent cx="2733675" cy="449844"/>
          <wp:effectExtent l="0" t="0" r="127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r w:rsidR="003841BE">
      <w:t>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383"/>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7FCD"/>
    <w:rsid w:val="000A195D"/>
    <w:rsid w:val="000B2481"/>
    <w:rsid w:val="000B3D11"/>
    <w:rsid w:val="000C040D"/>
    <w:rsid w:val="000C10C9"/>
    <w:rsid w:val="000C453F"/>
    <w:rsid w:val="000C724C"/>
    <w:rsid w:val="000C7461"/>
    <w:rsid w:val="000D07FB"/>
    <w:rsid w:val="000D140B"/>
    <w:rsid w:val="000D1625"/>
    <w:rsid w:val="000D41F6"/>
    <w:rsid w:val="000D5621"/>
    <w:rsid w:val="000D6651"/>
    <w:rsid w:val="000E00C4"/>
    <w:rsid w:val="000E0E63"/>
    <w:rsid w:val="000E432F"/>
    <w:rsid w:val="000E4E64"/>
    <w:rsid w:val="000E671A"/>
    <w:rsid w:val="000F0D8C"/>
    <w:rsid w:val="000F4548"/>
    <w:rsid w:val="000F4BCB"/>
    <w:rsid w:val="000F737F"/>
    <w:rsid w:val="000F7B5A"/>
    <w:rsid w:val="00100900"/>
    <w:rsid w:val="00100C60"/>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61C86"/>
    <w:rsid w:val="00163814"/>
    <w:rsid w:val="00165460"/>
    <w:rsid w:val="00175207"/>
    <w:rsid w:val="00175C62"/>
    <w:rsid w:val="00175E9C"/>
    <w:rsid w:val="00176695"/>
    <w:rsid w:val="00180D9D"/>
    <w:rsid w:val="00181AEF"/>
    <w:rsid w:val="00182B43"/>
    <w:rsid w:val="00183713"/>
    <w:rsid w:val="00183D51"/>
    <w:rsid w:val="00184C70"/>
    <w:rsid w:val="001856B6"/>
    <w:rsid w:val="0018582A"/>
    <w:rsid w:val="00186D29"/>
    <w:rsid w:val="0019119E"/>
    <w:rsid w:val="0019620C"/>
    <w:rsid w:val="00196B33"/>
    <w:rsid w:val="001A2053"/>
    <w:rsid w:val="001A2749"/>
    <w:rsid w:val="001A31B7"/>
    <w:rsid w:val="001A46D2"/>
    <w:rsid w:val="001B34B0"/>
    <w:rsid w:val="001B7E71"/>
    <w:rsid w:val="001C1D99"/>
    <w:rsid w:val="001C28AC"/>
    <w:rsid w:val="001C3A4E"/>
    <w:rsid w:val="001C4CC5"/>
    <w:rsid w:val="001C4F83"/>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352E"/>
    <w:rsid w:val="00244399"/>
    <w:rsid w:val="002504FE"/>
    <w:rsid w:val="002544BE"/>
    <w:rsid w:val="002549EA"/>
    <w:rsid w:val="0026704A"/>
    <w:rsid w:val="00270B46"/>
    <w:rsid w:val="0027115B"/>
    <w:rsid w:val="0027128B"/>
    <w:rsid w:val="002724A9"/>
    <w:rsid w:val="0027492E"/>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D6CB7"/>
    <w:rsid w:val="002E0F55"/>
    <w:rsid w:val="002E1042"/>
    <w:rsid w:val="002E6035"/>
    <w:rsid w:val="002F340B"/>
    <w:rsid w:val="002F34A4"/>
    <w:rsid w:val="002F7B9B"/>
    <w:rsid w:val="00303E64"/>
    <w:rsid w:val="00313309"/>
    <w:rsid w:val="003137FA"/>
    <w:rsid w:val="0031406A"/>
    <w:rsid w:val="00314607"/>
    <w:rsid w:val="00314634"/>
    <w:rsid w:val="003159E1"/>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41BE"/>
    <w:rsid w:val="00386CED"/>
    <w:rsid w:val="00387158"/>
    <w:rsid w:val="00393CF8"/>
    <w:rsid w:val="00394D63"/>
    <w:rsid w:val="003A1244"/>
    <w:rsid w:val="003A4498"/>
    <w:rsid w:val="003A7489"/>
    <w:rsid w:val="003B3F89"/>
    <w:rsid w:val="003B4D76"/>
    <w:rsid w:val="003C417A"/>
    <w:rsid w:val="003C4A23"/>
    <w:rsid w:val="003D06FB"/>
    <w:rsid w:val="003D23DE"/>
    <w:rsid w:val="003D2FE7"/>
    <w:rsid w:val="003D3E69"/>
    <w:rsid w:val="003D4405"/>
    <w:rsid w:val="003D600F"/>
    <w:rsid w:val="003D6427"/>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3778A"/>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A1B3D"/>
    <w:rsid w:val="004B6D6F"/>
    <w:rsid w:val="004B761D"/>
    <w:rsid w:val="004B7731"/>
    <w:rsid w:val="004C0B2C"/>
    <w:rsid w:val="004C66A5"/>
    <w:rsid w:val="004D31B1"/>
    <w:rsid w:val="004D3B07"/>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108EB"/>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078C"/>
    <w:rsid w:val="005B1473"/>
    <w:rsid w:val="005B1B7F"/>
    <w:rsid w:val="005B315F"/>
    <w:rsid w:val="005B342D"/>
    <w:rsid w:val="005B4CF4"/>
    <w:rsid w:val="005B60D2"/>
    <w:rsid w:val="005B65B2"/>
    <w:rsid w:val="005C093A"/>
    <w:rsid w:val="005C2A5E"/>
    <w:rsid w:val="005C5DBE"/>
    <w:rsid w:val="005D0C7A"/>
    <w:rsid w:val="005D0EC3"/>
    <w:rsid w:val="005D664B"/>
    <w:rsid w:val="005E1F71"/>
    <w:rsid w:val="005E2827"/>
    <w:rsid w:val="005F08B8"/>
    <w:rsid w:val="005F3974"/>
    <w:rsid w:val="005F4F32"/>
    <w:rsid w:val="005F5169"/>
    <w:rsid w:val="005F521A"/>
    <w:rsid w:val="005F68F1"/>
    <w:rsid w:val="005F7557"/>
    <w:rsid w:val="006016AB"/>
    <w:rsid w:val="006032FB"/>
    <w:rsid w:val="0060424A"/>
    <w:rsid w:val="00604838"/>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A6A"/>
    <w:rsid w:val="00695337"/>
    <w:rsid w:val="00695CA5"/>
    <w:rsid w:val="00697784"/>
    <w:rsid w:val="006A265B"/>
    <w:rsid w:val="006A75AE"/>
    <w:rsid w:val="006A7CBE"/>
    <w:rsid w:val="006B1D6C"/>
    <w:rsid w:val="006B1DA5"/>
    <w:rsid w:val="006B2E15"/>
    <w:rsid w:val="006B4B5C"/>
    <w:rsid w:val="006B75B3"/>
    <w:rsid w:val="006C0807"/>
    <w:rsid w:val="006C4833"/>
    <w:rsid w:val="006C5E38"/>
    <w:rsid w:val="006D2607"/>
    <w:rsid w:val="006D43F9"/>
    <w:rsid w:val="006E42C3"/>
    <w:rsid w:val="006E6E5E"/>
    <w:rsid w:val="006F0878"/>
    <w:rsid w:val="006F1F57"/>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312D"/>
    <w:rsid w:val="00773BBA"/>
    <w:rsid w:val="00782E35"/>
    <w:rsid w:val="00786A98"/>
    <w:rsid w:val="00790FA3"/>
    <w:rsid w:val="0079314A"/>
    <w:rsid w:val="007968F6"/>
    <w:rsid w:val="00796941"/>
    <w:rsid w:val="0079755B"/>
    <w:rsid w:val="007A06E2"/>
    <w:rsid w:val="007A464A"/>
    <w:rsid w:val="007A5C8C"/>
    <w:rsid w:val="007A63F3"/>
    <w:rsid w:val="007A7E54"/>
    <w:rsid w:val="007B1113"/>
    <w:rsid w:val="007B135E"/>
    <w:rsid w:val="007B34E9"/>
    <w:rsid w:val="007B5331"/>
    <w:rsid w:val="007B53C1"/>
    <w:rsid w:val="007B5AE0"/>
    <w:rsid w:val="007B70B9"/>
    <w:rsid w:val="007C1C4C"/>
    <w:rsid w:val="007C2FD2"/>
    <w:rsid w:val="007C4B6B"/>
    <w:rsid w:val="007C767A"/>
    <w:rsid w:val="007D6B93"/>
    <w:rsid w:val="007E1D22"/>
    <w:rsid w:val="007F0966"/>
    <w:rsid w:val="007F5870"/>
    <w:rsid w:val="0080153E"/>
    <w:rsid w:val="00803639"/>
    <w:rsid w:val="00804302"/>
    <w:rsid w:val="0080565E"/>
    <w:rsid w:val="00806218"/>
    <w:rsid w:val="00806A16"/>
    <w:rsid w:val="00806B22"/>
    <w:rsid w:val="008074D0"/>
    <w:rsid w:val="00810715"/>
    <w:rsid w:val="008146B6"/>
    <w:rsid w:val="00815DDA"/>
    <w:rsid w:val="00820E3C"/>
    <w:rsid w:val="008227C8"/>
    <w:rsid w:val="008305D7"/>
    <w:rsid w:val="00832DD1"/>
    <w:rsid w:val="008358A9"/>
    <w:rsid w:val="00840C19"/>
    <w:rsid w:val="008420C7"/>
    <w:rsid w:val="00845078"/>
    <w:rsid w:val="0085008B"/>
    <w:rsid w:val="00851441"/>
    <w:rsid w:val="008518AC"/>
    <w:rsid w:val="008548BB"/>
    <w:rsid w:val="008551A7"/>
    <w:rsid w:val="00864075"/>
    <w:rsid w:val="00865010"/>
    <w:rsid w:val="00866011"/>
    <w:rsid w:val="0087303A"/>
    <w:rsid w:val="0087500D"/>
    <w:rsid w:val="00875820"/>
    <w:rsid w:val="00876C57"/>
    <w:rsid w:val="008802B6"/>
    <w:rsid w:val="00884021"/>
    <w:rsid w:val="008846EF"/>
    <w:rsid w:val="0089062F"/>
    <w:rsid w:val="0089136B"/>
    <w:rsid w:val="00895BE3"/>
    <w:rsid w:val="00895E76"/>
    <w:rsid w:val="008A05A2"/>
    <w:rsid w:val="008A1940"/>
    <w:rsid w:val="008A4110"/>
    <w:rsid w:val="008A44BD"/>
    <w:rsid w:val="008C1104"/>
    <w:rsid w:val="008C131A"/>
    <w:rsid w:val="008C201D"/>
    <w:rsid w:val="008D03CD"/>
    <w:rsid w:val="008D5DF3"/>
    <w:rsid w:val="008E43E3"/>
    <w:rsid w:val="008E4F0A"/>
    <w:rsid w:val="008E504E"/>
    <w:rsid w:val="008E5A67"/>
    <w:rsid w:val="008E7A89"/>
    <w:rsid w:val="008F00E4"/>
    <w:rsid w:val="008F210A"/>
    <w:rsid w:val="008F48D9"/>
    <w:rsid w:val="008F4C17"/>
    <w:rsid w:val="00901265"/>
    <w:rsid w:val="00901EB8"/>
    <w:rsid w:val="00903392"/>
    <w:rsid w:val="00903AF3"/>
    <w:rsid w:val="00907D9D"/>
    <w:rsid w:val="00910481"/>
    <w:rsid w:val="009139E5"/>
    <w:rsid w:val="009141FA"/>
    <w:rsid w:val="00915C0A"/>
    <w:rsid w:val="00916C26"/>
    <w:rsid w:val="0092184F"/>
    <w:rsid w:val="009233F8"/>
    <w:rsid w:val="00930AE0"/>
    <w:rsid w:val="00933E6A"/>
    <w:rsid w:val="00934F52"/>
    <w:rsid w:val="00943917"/>
    <w:rsid w:val="00943C2B"/>
    <w:rsid w:val="00946A07"/>
    <w:rsid w:val="00947835"/>
    <w:rsid w:val="0095049E"/>
    <w:rsid w:val="00952FDB"/>
    <w:rsid w:val="009542CF"/>
    <w:rsid w:val="00954F21"/>
    <w:rsid w:val="009620B2"/>
    <w:rsid w:val="00962DE2"/>
    <w:rsid w:val="00965843"/>
    <w:rsid w:val="009670BC"/>
    <w:rsid w:val="00967AF3"/>
    <w:rsid w:val="00967F7D"/>
    <w:rsid w:val="00972120"/>
    <w:rsid w:val="0097786C"/>
    <w:rsid w:val="00980D3C"/>
    <w:rsid w:val="00983F0C"/>
    <w:rsid w:val="009969BE"/>
    <w:rsid w:val="009A0999"/>
    <w:rsid w:val="009A467C"/>
    <w:rsid w:val="009A67ED"/>
    <w:rsid w:val="009B0DBB"/>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55E11"/>
    <w:rsid w:val="00A612C8"/>
    <w:rsid w:val="00A64968"/>
    <w:rsid w:val="00A72B8A"/>
    <w:rsid w:val="00A740D3"/>
    <w:rsid w:val="00A75C13"/>
    <w:rsid w:val="00A76E0A"/>
    <w:rsid w:val="00A8566F"/>
    <w:rsid w:val="00A87909"/>
    <w:rsid w:val="00A9099D"/>
    <w:rsid w:val="00A91387"/>
    <w:rsid w:val="00A933C7"/>
    <w:rsid w:val="00A93FD5"/>
    <w:rsid w:val="00AA1BD1"/>
    <w:rsid w:val="00AA33B6"/>
    <w:rsid w:val="00AA38BF"/>
    <w:rsid w:val="00AB2305"/>
    <w:rsid w:val="00AB5A01"/>
    <w:rsid w:val="00AC051A"/>
    <w:rsid w:val="00AC27E1"/>
    <w:rsid w:val="00AC2F9B"/>
    <w:rsid w:val="00AC38E7"/>
    <w:rsid w:val="00AC4209"/>
    <w:rsid w:val="00AC6133"/>
    <w:rsid w:val="00AC7905"/>
    <w:rsid w:val="00AC7F6B"/>
    <w:rsid w:val="00AD4F8D"/>
    <w:rsid w:val="00AE3414"/>
    <w:rsid w:val="00AF1079"/>
    <w:rsid w:val="00AF156F"/>
    <w:rsid w:val="00AF35B5"/>
    <w:rsid w:val="00B03574"/>
    <w:rsid w:val="00B03668"/>
    <w:rsid w:val="00B04A33"/>
    <w:rsid w:val="00B06BDF"/>
    <w:rsid w:val="00B07DB5"/>
    <w:rsid w:val="00B11933"/>
    <w:rsid w:val="00B13166"/>
    <w:rsid w:val="00B138A2"/>
    <w:rsid w:val="00B176DD"/>
    <w:rsid w:val="00B24D78"/>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66BD7"/>
    <w:rsid w:val="00B715BA"/>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7D19"/>
    <w:rsid w:val="00C3103A"/>
    <w:rsid w:val="00C31C08"/>
    <w:rsid w:val="00C33630"/>
    <w:rsid w:val="00C337AB"/>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61EC"/>
    <w:rsid w:val="00C840CB"/>
    <w:rsid w:val="00C843C3"/>
    <w:rsid w:val="00C85699"/>
    <w:rsid w:val="00C922FC"/>
    <w:rsid w:val="00C93D04"/>
    <w:rsid w:val="00CA1E67"/>
    <w:rsid w:val="00CA378C"/>
    <w:rsid w:val="00CA66E2"/>
    <w:rsid w:val="00CB1690"/>
    <w:rsid w:val="00CB21B2"/>
    <w:rsid w:val="00CB7964"/>
    <w:rsid w:val="00CC4DCA"/>
    <w:rsid w:val="00CC67FE"/>
    <w:rsid w:val="00CC7458"/>
    <w:rsid w:val="00CC79F6"/>
    <w:rsid w:val="00CD15D9"/>
    <w:rsid w:val="00CD17B5"/>
    <w:rsid w:val="00CD28E3"/>
    <w:rsid w:val="00CD3C2E"/>
    <w:rsid w:val="00CD4E11"/>
    <w:rsid w:val="00CD4E6E"/>
    <w:rsid w:val="00CD6F81"/>
    <w:rsid w:val="00CE19B9"/>
    <w:rsid w:val="00CE392D"/>
    <w:rsid w:val="00CF322E"/>
    <w:rsid w:val="00CF39FF"/>
    <w:rsid w:val="00CF51C2"/>
    <w:rsid w:val="00CF6017"/>
    <w:rsid w:val="00CF69A1"/>
    <w:rsid w:val="00D01B66"/>
    <w:rsid w:val="00D0209E"/>
    <w:rsid w:val="00D04B0B"/>
    <w:rsid w:val="00D11AA1"/>
    <w:rsid w:val="00D15BC3"/>
    <w:rsid w:val="00D17708"/>
    <w:rsid w:val="00D21BE6"/>
    <w:rsid w:val="00D264D9"/>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1EA2"/>
    <w:rsid w:val="00D948A8"/>
    <w:rsid w:val="00DA38A5"/>
    <w:rsid w:val="00DA615C"/>
    <w:rsid w:val="00DB5EE7"/>
    <w:rsid w:val="00DC06FE"/>
    <w:rsid w:val="00DC4B3E"/>
    <w:rsid w:val="00DC4FBE"/>
    <w:rsid w:val="00DC55A3"/>
    <w:rsid w:val="00DC5687"/>
    <w:rsid w:val="00DD0C42"/>
    <w:rsid w:val="00DD1A5A"/>
    <w:rsid w:val="00DD1D39"/>
    <w:rsid w:val="00DD3CD9"/>
    <w:rsid w:val="00DD4433"/>
    <w:rsid w:val="00DD6372"/>
    <w:rsid w:val="00DD667F"/>
    <w:rsid w:val="00DE1FD3"/>
    <w:rsid w:val="00DE6F33"/>
    <w:rsid w:val="00DF5384"/>
    <w:rsid w:val="00DF7A3E"/>
    <w:rsid w:val="00E00030"/>
    <w:rsid w:val="00E01513"/>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6179E"/>
    <w:rsid w:val="00E6343A"/>
    <w:rsid w:val="00E64246"/>
    <w:rsid w:val="00E6493D"/>
    <w:rsid w:val="00E72961"/>
    <w:rsid w:val="00E74D6B"/>
    <w:rsid w:val="00E86528"/>
    <w:rsid w:val="00E91337"/>
    <w:rsid w:val="00E94D40"/>
    <w:rsid w:val="00EA6CC8"/>
    <w:rsid w:val="00EA6FDD"/>
    <w:rsid w:val="00EA7902"/>
    <w:rsid w:val="00EB2FAB"/>
    <w:rsid w:val="00EB3B73"/>
    <w:rsid w:val="00EB7659"/>
    <w:rsid w:val="00EC2D51"/>
    <w:rsid w:val="00EC60E2"/>
    <w:rsid w:val="00EC64A9"/>
    <w:rsid w:val="00EC726B"/>
    <w:rsid w:val="00ED077A"/>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3803"/>
    <w:rsid w:val="00F44696"/>
    <w:rsid w:val="00F452BB"/>
    <w:rsid w:val="00F46A6C"/>
    <w:rsid w:val="00F50C6B"/>
    <w:rsid w:val="00F52CF6"/>
    <w:rsid w:val="00F545B7"/>
    <w:rsid w:val="00F54A6E"/>
    <w:rsid w:val="00F57362"/>
    <w:rsid w:val="00F57539"/>
    <w:rsid w:val="00F57CA4"/>
    <w:rsid w:val="00F64501"/>
    <w:rsid w:val="00F646A4"/>
    <w:rsid w:val="00F662F4"/>
    <w:rsid w:val="00F66AD3"/>
    <w:rsid w:val="00F67E33"/>
    <w:rsid w:val="00F72262"/>
    <w:rsid w:val="00F73ECC"/>
    <w:rsid w:val="00F81776"/>
    <w:rsid w:val="00F83C68"/>
    <w:rsid w:val="00F854A7"/>
    <w:rsid w:val="00F9029F"/>
    <w:rsid w:val="00F90416"/>
    <w:rsid w:val="00F90DAC"/>
    <w:rsid w:val="00F969AA"/>
    <w:rsid w:val="00FA129A"/>
    <w:rsid w:val="00FA1705"/>
    <w:rsid w:val="00FA57C9"/>
    <w:rsid w:val="00FB29CD"/>
    <w:rsid w:val="00FB452C"/>
    <w:rsid w:val="00FB65E2"/>
    <w:rsid w:val="00FC1B1D"/>
    <w:rsid w:val="00FC24C4"/>
    <w:rsid w:val="00FC5312"/>
    <w:rsid w:val="00FD3B94"/>
    <w:rsid w:val="00FD4CC4"/>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 w:type="character" w:styleId="NichtaufgelsteErwhnung">
    <w:name w:val="Unresolved Mention"/>
    <w:basedOn w:val="Absatz-Standardschriftart"/>
    <w:uiPriority w:val="99"/>
    <w:semiHidden/>
    <w:unhideWhenUsed/>
    <w:rsid w:val="001C1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s.velux.ch/innovative-holzkonstruktion-inszeniert-velux-modular-skyligh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ess.velux.ch/innovative-holzkonstruktion-inszeniert-velux-modular-skylights/" TargetMode="External"/><Relationship Id="rId17" Type="http://schemas.openxmlformats.org/officeDocument/2006/relationships/hyperlink" Target="http://www.velux.com" TargetMode="External"/><Relationship Id="rId2" Type="http://schemas.openxmlformats.org/officeDocument/2006/relationships/customXml" Target="../customXml/item2.xml"/><Relationship Id="rId16" Type="http://schemas.openxmlformats.org/officeDocument/2006/relationships/hyperlink" Target="http://www.veluxcommercial.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schwimmen-mit-blick-in-den-himmel/" TargetMode="External"/><Relationship Id="rId5" Type="http://schemas.openxmlformats.org/officeDocument/2006/relationships/numbering" Target="numbering.xml"/><Relationship Id="rId15" Type="http://schemas.openxmlformats.org/officeDocument/2006/relationships/hyperlink" Target="mailto:velux@prfact.c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szter.sagi@velux.com"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BBB82040-DA06-4ADD-A0C1-CEBEB54D14FC}">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0333278c-a8df-44fe-a2a5-127e0226dfc6"/>
    <ds:schemaRef ds:uri="http://schemas.microsoft.com/office/2006/metadata/properties"/>
    <ds:schemaRef ds:uri="http://schemas.microsoft.com/office/infopath/2007/PartnerControls"/>
    <ds:schemaRef ds:uri="ece48145-cf35-4e72-af20-f1df4de6bc87"/>
    <ds:schemaRef ds:uri="http://www.w3.org/XML/1998/namespace"/>
  </ds:schemaRefs>
</ds:datastoreItem>
</file>

<file path=customXml/itemProps3.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E3A40A-65E4-41BD-A7C4-385AD093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7329</Characters>
  <Application>Microsoft Office Word</Application>
  <DocSecurity>0</DocSecurity>
  <Lines>107</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Jennifer Egger</cp:lastModifiedBy>
  <cp:revision>12</cp:revision>
  <cp:lastPrinted>2024-08-16T08:37:00Z</cp:lastPrinted>
  <dcterms:created xsi:type="dcterms:W3CDTF">2024-08-12T12:42:00Z</dcterms:created>
  <dcterms:modified xsi:type="dcterms:W3CDTF">2024-08-16T11:07:00Z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